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D7A" w:rsidRDefault="000E3113">
      <w:pPr>
        <w:pStyle w:val="pHeaderDocument"/>
      </w:pPr>
      <w:bookmarkStart w:id="0" w:name="_GoBack"/>
      <w:bookmarkEnd w:id="0"/>
      <w:r>
        <w:rPr>
          <w:rStyle w:val="fHeaderDocument"/>
          <w:rFonts w:eastAsia="Arial"/>
        </w:rPr>
        <w:t xml:space="preserve">Requests by the Public under </w:t>
      </w:r>
      <w:r>
        <w:rPr>
          <w:rFonts w:ascii="Times New Roman" w:eastAsia="Times New Roman" w:hAnsi="Times New Roman" w:cs="Times New Roman"/>
          <w:i/>
          <w:iCs/>
          <w:sz w:val="44"/>
          <w:szCs w:val="44"/>
        </w:rPr>
        <w:t>FIPPA/MFIPPA</w:t>
      </w:r>
    </w:p>
    <w:p w:rsidR="00B20D7A" w:rsidRDefault="00B20D7A"/>
    <w:p w:rsidR="00B20D7A" w:rsidRDefault="000E3113">
      <w:r>
        <w:t>There were 44167 freedom of information (FOI) requests filed across Ontario in 2020, above a 27% decrease over 2019 where 60394 were filed.</w:t>
      </w:r>
    </w:p>
    <w:p w:rsidR="00B20D7A" w:rsidRDefault="00B20D7A"/>
    <w:p w:rsidR="00B20D7A" w:rsidRDefault="000E3113">
      <w:r>
        <w:rPr>
          <w:rStyle w:val="fNameTable"/>
        </w:rPr>
        <w:t>Total FOI Requests Filed by Jurisdiction and Records Type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2500"/>
        <w:gridCol w:w="2400"/>
        <w:gridCol w:w="14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B20D7A" w:rsidRDefault="00B20D7A"/>
        </w:tc>
        <w:tc>
          <w:tcPr>
            <w:tcW w:w="25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Personal Information</w:t>
            </w:r>
          </w:p>
        </w:tc>
        <w:tc>
          <w:tcPr>
            <w:tcW w:w="24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General Records</w:t>
            </w:r>
          </w:p>
        </w:tc>
        <w:tc>
          <w:tcPr>
            <w:tcW w:w="14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Total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B20D7A" w:rsidRDefault="000E3113">
            <w:r>
              <w:t>Municipal</w:t>
            </w:r>
          </w:p>
        </w:tc>
        <w:tc>
          <w:tcPr>
            <w:tcW w:w="2500" w:type="dxa"/>
          </w:tcPr>
          <w:p w:rsidR="00B20D7A" w:rsidRDefault="000E3113">
            <w:pPr>
              <w:jc w:val="center"/>
            </w:pPr>
            <w:r>
              <w:t>13704</w:t>
            </w:r>
          </w:p>
        </w:tc>
        <w:tc>
          <w:tcPr>
            <w:tcW w:w="2400" w:type="dxa"/>
          </w:tcPr>
          <w:p w:rsidR="00B20D7A" w:rsidRDefault="000E3113">
            <w:pPr>
              <w:jc w:val="center"/>
            </w:pPr>
            <w:r>
              <w:t>12397</w:t>
            </w:r>
          </w:p>
        </w:tc>
        <w:tc>
          <w:tcPr>
            <w:tcW w:w="1400" w:type="dxa"/>
          </w:tcPr>
          <w:p w:rsidR="00B20D7A" w:rsidRDefault="000E3113">
            <w:pPr>
              <w:jc w:val="center"/>
            </w:pPr>
            <w:r>
              <w:t>26101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B20D7A" w:rsidRDefault="000E3113">
            <w:r>
              <w:t>Provincial</w:t>
            </w:r>
          </w:p>
        </w:tc>
        <w:tc>
          <w:tcPr>
            <w:tcW w:w="2500" w:type="dxa"/>
          </w:tcPr>
          <w:p w:rsidR="00B20D7A" w:rsidRDefault="000E3113">
            <w:pPr>
              <w:jc w:val="center"/>
            </w:pPr>
            <w:r>
              <w:t>6951</w:t>
            </w:r>
          </w:p>
        </w:tc>
        <w:tc>
          <w:tcPr>
            <w:tcW w:w="2400" w:type="dxa"/>
          </w:tcPr>
          <w:p w:rsidR="00B20D7A" w:rsidRDefault="000E3113">
            <w:pPr>
              <w:jc w:val="center"/>
            </w:pPr>
            <w:r>
              <w:t>11115</w:t>
            </w:r>
          </w:p>
        </w:tc>
        <w:tc>
          <w:tcPr>
            <w:tcW w:w="1400" w:type="dxa"/>
          </w:tcPr>
          <w:p w:rsidR="00B20D7A" w:rsidRDefault="000E3113">
            <w:pPr>
              <w:jc w:val="center"/>
            </w:pPr>
            <w:r>
              <w:t>18066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1800" w:type="dxa"/>
            <w:shd w:val="clear" w:color="auto" w:fill="A6A6A6"/>
          </w:tcPr>
          <w:p w:rsidR="00B20D7A" w:rsidRDefault="000E3113">
            <w:r>
              <w:rPr>
                <w:rStyle w:val="fFooterTable"/>
                <w:rFonts w:eastAsia="Arial"/>
              </w:rPr>
              <w:t>Total</w:t>
            </w:r>
          </w:p>
        </w:tc>
        <w:tc>
          <w:tcPr>
            <w:tcW w:w="25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20655</w:t>
            </w:r>
          </w:p>
        </w:tc>
        <w:tc>
          <w:tcPr>
            <w:tcW w:w="24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23512</w:t>
            </w:r>
          </w:p>
        </w:tc>
        <w:tc>
          <w:tcPr>
            <w:tcW w:w="14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44167</w:t>
            </w:r>
          </w:p>
        </w:tc>
      </w:tr>
    </w:tbl>
    <w:p w:rsidR="00B20D7A" w:rsidRDefault="00B20D7A"/>
    <w:p w:rsidR="00B20D7A" w:rsidRDefault="000E3113">
      <w:r>
        <w:rPr>
          <w:rStyle w:val="fNameTable"/>
        </w:rPr>
        <w:t>Total FOI Requests Completed by Jurisdiction and Records Type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2500"/>
        <w:gridCol w:w="2400"/>
        <w:gridCol w:w="14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B20D7A" w:rsidRDefault="00B20D7A"/>
        </w:tc>
        <w:tc>
          <w:tcPr>
            <w:tcW w:w="25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Personal Information</w:t>
            </w:r>
          </w:p>
        </w:tc>
        <w:tc>
          <w:tcPr>
            <w:tcW w:w="24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General Records</w:t>
            </w:r>
          </w:p>
        </w:tc>
        <w:tc>
          <w:tcPr>
            <w:tcW w:w="14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Total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B20D7A" w:rsidRDefault="000E3113">
            <w:r>
              <w:t>Municipal</w:t>
            </w:r>
          </w:p>
        </w:tc>
        <w:tc>
          <w:tcPr>
            <w:tcW w:w="2500" w:type="dxa"/>
          </w:tcPr>
          <w:p w:rsidR="00B20D7A" w:rsidRDefault="000E3113">
            <w:pPr>
              <w:jc w:val="center"/>
            </w:pPr>
            <w:r>
              <w:t>13953</w:t>
            </w:r>
          </w:p>
        </w:tc>
        <w:tc>
          <w:tcPr>
            <w:tcW w:w="2400" w:type="dxa"/>
          </w:tcPr>
          <w:p w:rsidR="00B20D7A" w:rsidRDefault="000E3113">
            <w:pPr>
              <w:jc w:val="center"/>
            </w:pPr>
            <w:r>
              <w:t>11615</w:t>
            </w:r>
          </w:p>
        </w:tc>
        <w:tc>
          <w:tcPr>
            <w:tcW w:w="1400" w:type="dxa"/>
          </w:tcPr>
          <w:p w:rsidR="00B20D7A" w:rsidRDefault="000E3113">
            <w:pPr>
              <w:jc w:val="center"/>
            </w:pPr>
            <w:r>
              <w:t>25568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B20D7A" w:rsidRDefault="000E3113">
            <w:r>
              <w:t>Provincial</w:t>
            </w:r>
          </w:p>
        </w:tc>
        <w:tc>
          <w:tcPr>
            <w:tcW w:w="2500" w:type="dxa"/>
          </w:tcPr>
          <w:p w:rsidR="00B20D7A" w:rsidRDefault="000E3113">
            <w:pPr>
              <w:jc w:val="center"/>
            </w:pPr>
            <w:r>
              <w:t>6919</w:t>
            </w:r>
          </w:p>
        </w:tc>
        <w:tc>
          <w:tcPr>
            <w:tcW w:w="2400" w:type="dxa"/>
          </w:tcPr>
          <w:p w:rsidR="00B20D7A" w:rsidRDefault="000E3113">
            <w:pPr>
              <w:jc w:val="center"/>
            </w:pPr>
            <w:r>
              <w:t>6389</w:t>
            </w:r>
          </w:p>
        </w:tc>
        <w:tc>
          <w:tcPr>
            <w:tcW w:w="1400" w:type="dxa"/>
          </w:tcPr>
          <w:p w:rsidR="00B20D7A" w:rsidRDefault="000E3113">
            <w:pPr>
              <w:jc w:val="center"/>
            </w:pPr>
            <w:r>
              <w:t>13308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1800" w:type="dxa"/>
            <w:shd w:val="clear" w:color="auto" w:fill="A6A6A6"/>
          </w:tcPr>
          <w:p w:rsidR="00B20D7A" w:rsidRDefault="000E3113">
            <w:r>
              <w:rPr>
                <w:rStyle w:val="fFooterTable"/>
                <w:rFonts w:eastAsia="Arial"/>
              </w:rPr>
              <w:t>Total</w:t>
            </w:r>
          </w:p>
        </w:tc>
        <w:tc>
          <w:tcPr>
            <w:tcW w:w="25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20872</w:t>
            </w:r>
          </w:p>
        </w:tc>
        <w:tc>
          <w:tcPr>
            <w:tcW w:w="24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18004</w:t>
            </w:r>
          </w:p>
        </w:tc>
        <w:tc>
          <w:tcPr>
            <w:tcW w:w="14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38876</w:t>
            </w:r>
          </w:p>
        </w:tc>
      </w:tr>
    </w:tbl>
    <w:p w:rsidR="00B20D7A" w:rsidRDefault="00B20D7A"/>
    <w:p w:rsidR="00B20D7A" w:rsidRDefault="000E3113">
      <w:r>
        <w:rPr>
          <w:rStyle w:val="fNameTable"/>
        </w:rPr>
        <w:t>Total FOI Requests Completed by Source and Jurisdiction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0"/>
        <w:gridCol w:w="1600"/>
        <w:gridCol w:w="1600"/>
        <w:gridCol w:w="16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2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Source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Municipal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Provincial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Total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200" w:type="dxa"/>
          </w:tcPr>
          <w:p w:rsidR="00B20D7A" w:rsidRDefault="000E3113">
            <w:r>
              <w:t>Individual/Public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15015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3481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18496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200" w:type="dxa"/>
          </w:tcPr>
          <w:p w:rsidR="00B20D7A" w:rsidRDefault="000E3113">
            <w:r>
              <w:t>Individual by Agent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6469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5052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11521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200" w:type="dxa"/>
          </w:tcPr>
          <w:p w:rsidR="00B20D7A" w:rsidRDefault="000E3113">
            <w:r>
              <w:t>Business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2308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3776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6084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200" w:type="dxa"/>
          </w:tcPr>
          <w:p w:rsidR="00B20D7A" w:rsidRDefault="000E3113">
            <w:r>
              <w:t>Academic/Researcher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81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119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200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200" w:type="dxa"/>
          </w:tcPr>
          <w:p w:rsidR="00B20D7A" w:rsidRDefault="000E3113">
            <w:r>
              <w:t>Association/Group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302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165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467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200" w:type="dxa"/>
          </w:tcPr>
          <w:p w:rsidR="00B20D7A" w:rsidRDefault="000E3113">
            <w:r>
              <w:t>Media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342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462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804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200" w:type="dxa"/>
          </w:tcPr>
          <w:p w:rsidR="00B20D7A" w:rsidRDefault="000E3113">
            <w:r>
              <w:t>Government (all levels)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605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132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737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200" w:type="dxa"/>
          </w:tcPr>
          <w:p w:rsidR="00B20D7A" w:rsidRDefault="000E3113">
            <w:r>
              <w:t>Other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446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121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567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200" w:type="dxa"/>
            <w:shd w:val="clear" w:color="auto" w:fill="A6A6A6"/>
          </w:tcPr>
          <w:p w:rsidR="00B20D7A" w:rsidRDefault="000E3113">
            <w:r>
              <w:rPr>
                <w:rStyle w:val="fFooterTable"/>
                <w:rFonts w:eastAsia="Arial"/>
              </w:rPr>
              <w:t>Total Requests</w:t>
            </w:r>
          </w:p>
        </w:tc>
        <w:tc>
          <w:tcPr>
            <w:tcW w:w="16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25568</w:t>
            </w:r>
          </w:p>
        </w:tc>
        <w:tc>
          <w:tcPr>
            <w:tcW w:w="16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13308</w:t>
            </w:r>
          </w:p>
        </w:tc>
        <w:tc>
          <w:tcPr>
            <w:tcW w:w="16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38876</w:t>
            </w:r>
          </w:p>
        </w:tc>
      </w:tr>
    </w:tbl>
    <w:p w:rsidR="00B20D7A" w:rsidRDefault="00B20D7A"/>
    <w:p w:rsidR="00B20D7A" w:rsidRDefault="000E3113">
      <w:r>
        <w:rPr>
          <w:rStyle w:val="fNameTable"/>
        </w:rPr>
        <w:t>Outcome of Requests by Jurisdiction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  <w:gridCol w:w="1600"/>
        <w:gridCol w:w="1600"/>
        <w:gridCol w:w="16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Source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Municipal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Provincial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Total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lastRenderedPageBreak/>
              <w:t>All Information Disclosed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5858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3601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9459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Information Disclosed in Part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13824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5224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19048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No Information Disclosed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2771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1202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3973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No Responsive Records Exist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1797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1966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3763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Request Withdrawn, Abandoned or Non-Jurisdictional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1427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1349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2776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  <w:shd w:val="clear" w:color="auto" w:fill="A6A6A6"/>
          </w:tcPr>
          <w:p w:rsidR="00B20D7A" w:rsidRDefault="000E3113">
            <w:r>
              <w:rPr>
                <w:rStyle w:val="fFooterTable"/>
                <w:rFonts w:eastAsia="Arial"/>
              </w:rPr>
              <w:t>Total Requests</w:t>
            </w:r>
          </w:p>
        </w:tc>
        <w:tc>
          <w:tcPr>
            <w:tcW w:w="16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25677</w:t>
            </w:r>
          </w:p>
        </w:tc>
        <w:tc>
          <w:tcPr>
            <w:tcW w:w="16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13342</w:t>
            </w:r>
          </w:p>
        </w:tc>
        <w:tc>
          <w:tcPr>
            <w:tcW w:w="16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39019</w:t>
            </w:r>
          </w:p>
        </w:tc>
      </w:tr>
    </w:tbl>
    <w:p w:rsidR="00B20D7A" w:rsidRDefault="000E3113">
      <w:r>
        <w:br w:type="page"/>
      </w:r>
    </w:p>
    <w:p w:rsidR="00B20D7A" w:rsidRDefault="00B20D7A"/>
    <w:p w:rsidR="00B20D7A" w:rsidRDefault="000E3113">
      <w:r>
        <w:rPr>
          <w:rStyle w:val="fNameTable"/>
        </w:rPr>
        <w:t>Total Fees Collected and Waived by Jurisdiction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  <w:gridCol w:w="1600"/>
        <w:gridCol w:w="1600"/>
        <w:gridCol w:w="16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B20D7A"/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Municipal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Provincial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Total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Total Application Fees Collected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$120442.52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$87721.64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$208164.16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Total Additional Fees Collected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$274577.08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$348550.91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$623127.99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  <w:shd w:val="clear" w:color="auto" w:fill="A6A6A6"/>
          </w:tcPr>
          <w:p w:rsidR="00B20D7A" w:rsidRDefault="000E3113">
            <w:r>
              <w:t>Total</w:t>
            </w:r>
          </w:p>
        </w:tc>
        <w:tc>
          <w:tcPr>
            <w:tcW w:w="16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$395019.6</w:t>
            </w:r>
          </w:p>
        </w:tc>
        <w:tc>
          <w:tcPr>
            <w:tcW w:w="16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$436272.55</w:t>
            </w:r>
          </w:p>
        </w:tc>
        <w:tc>
          <w:tcPr>
            <w:tcW w:w="16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FooterTable"/>
                <w:rFonts w:eastAsia="Arial"/>
              </w:rPr>
              <w:t>$831292.15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Total Fees Waived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$47149.63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$15188.3</w:t>
            </w:r>
          </w:p>
        </w:tc>
        <w:tc>
          <w:tcPr>
            <w:tcW w:w="1600" w:type="dxa"/>
          </w:tcPr>
          <w:p w:rsidR="00B20D7A" w:rsidRDefault="000E3113">
            <w:pPr>
              <w:jc w:val="center"/>
            </w:pPr>
            <w:r>
              <w:t>$62337.93</w:t>
            </w:r>
          </w:p>
        </w:tc>
      </w:tr>
    </w:tbl>
    <w:p w:rsidR="00B20D7A" w:rsidRDefault="00B20D7A"/>
    <w:p w:rsidR="00B20D7A" w:rsidRDefault="000E3113">
      <w:r>
        <w:rPr>
          <w:rStyle w:val="fNameTable"/>
        </w:rPr>
        <w:t>Average Cost of Municipal Requests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  <w:gridCol w:w="1000"/>
        <w:gridCol w:w="1000"/>
        <w:gridCol w:w="1000"/>
        <w:gridCol w:w="1000"/>
        <w:gridCol w:w="10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B20D7A"/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2016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2017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2018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2019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2020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Personal Information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$10.75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$9.92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$10.37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$9.50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$8.66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General Records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$24.66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$24.50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$22.20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$26.05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$23.61</w:t>
            </w:r>
          </w:p>
        </w:tc>
      </w:tr>
    </w:tbl>
    <w:p w:rsidR="00B20D7A" w:rsidRDefault="00B20D7A"/>
    <w:p w:rsidR="00B20D7A" w:rsidRDefault="000E3113">
      <w:r>
        <w:rPr>
          <w:rStyle w:val="fNameTable"/>
        </w:rPr>
        <w:t>Average Cost of Provincial Requests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  <w:gridCol w:w="1000"/>
        <w:gridCol w:w="1000"/>
        <w:gridCol w:w="1000"/>
        <w:gridCol w:w="1000"/>
        <w:gridCol w:w="10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B20D7A"/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2016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2017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2018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2019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rPr>
                <w:rStyle w:val="fHeaderTable"/>
                <w:rFonts w:eastAsia="Arial"/>
              </w:rPr>
              <w:t>2020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Personal Information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$13.86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$4.02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$14.31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$9.76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$7.90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4000" w:type="dxa"/>
          </w:tcPr>
          <w:p w:rsidR="00B20D7A" w:rsidRDefault="000E3113">
            <w:r>
              <w:t>General Records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$38.59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$25.53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$30.74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$38.50</w:t>
            </w:r>
          </w:p>
        </w:tc>
        <w:tc>
          <w:tcPr>
            <w:tcW w:w="1000" w:type="dxa"/>
          </w:tcPr>
          <w:p w:rsidR="00B20D7A" w:rsidRDefault="000E3113">
            <w:pPr>
              <w:jc w:val="center"/>
            </w:pPr>
            <w:r>
              <w:t>$59.73</w:t>
            </w:r>
          </w:p>
        </w:tc>
      </w:tr>
    </w:tbl>
    <w:p w:rsidR="00B20D7A" w:rsidRDefault="000E3113">
      <w:r>
        <w:br w:type="page"/>
      </w:r>
    </w:p>
    <w:p w:rsidR="00B20D7A" w:rsidRDefault="00B20D7A"/>
    <w:p w:rsidR="00B20D7A" w:rsidRDefault="000E3113">
      <w:r>
        <w:rPr>
          <w:rStyle w:val="fHeaderSection"/>
          <w:rFonts w:eastAsia="Arial"/>
        </w:rPr>
        <w:t>Provincial Compliance</w:t>
      </w:r>
    </w:p>
    <w:p w:rsidR="00B20D7A" w:rsidRDefault="00B20D7A"/>
    <w:p w:rsidR="00B20D7A" w:rsidRDefault="000E3113">
      <w:r>
        <w:rPr>
          <w:rStyle w:val="fNameTable"/>
        </w:rPr>
        <w:t>Overall Provincial Compliance:</w:t>
      </w:r>
    </w:p>
    <w:p w:rsidR="00B20D7A" w:rsidRDefault="00B20D7A"/>
    <w:p w:rsidR="00B20D7A" w:rsidRDefault="000E3113">
      <w:r>
        <w:t>30-day:</w:t>
      </w:r>
      <w:r>
        <w:tab/>
      </w:r>
      <w:r>
        <w:tab/>
        <w:t>66.8%</w:t>
      </w:r>
    </w:p>
    <w:p w:rsidR="00B20D7A" w:rsidRDefault="000E3113">
      <w:r>
        <w:t>Extended:</w:t>
      </w:r>
      <w:r>
        <w:tab/>
      </w:r>
      <w:r>
        <w:t>73.9%</w:t>
      </w:r>
    </w:p>
    <w:p w:rsidR="00B20D7A" w:rsidRDefault="000E3113">
      <w:r>
        <w:t>Over 90 days:</w:t>
      </w:r>
      <w:r>
        <w:tab/>
        <w:t>16.4%</w:t>
      </w:r>
    </w:p>
    <w:p w:rsidR="00B20D7A" w:rsidRDefault="00B20D7A"/>
    <w:p w:rsidR="00B20D7A" w:rsidRDefault="00B20D7A"/>
    <w:p w:rsidR="00B20D7A" w:rsidRDefault="000E3113">
      <w:r>
        <w:rPr>
          <w:rStyle w:val="fNameTable"/>
        </w:rPr>
        <w:t>Top 10 Provincial Institutions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0"/>
        <w:gridCol w:w="950"/>
        <w:gridCol w:w="980"/>
        <w:gridCol w:w="950"/>
        <w:gridCol w:w="700"/>
        <w:gridCol w:w="1200"/>
        <w:gridCol w:w="900"/>
        <w:gridCol w:w="7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B20D7A"/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Received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Completed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Within 30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Extended Compliance%*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Over 90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Ministry of the Solicitor General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4749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4567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3896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85.3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215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Ministry of Children, Community and Social Services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2614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2787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1548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55.5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58.6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688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Ministry of the Environment, Conservation and Parks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6960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2606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1106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42.4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43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Ministry of Government &amp; Consumer Services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345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259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227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87.6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92.7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Ministry of Transportation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290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233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146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62.7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69.1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Ministry of the Attorney General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247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220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147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66.8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Workplace Safety and Insurance Board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185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156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54.5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17.9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Ministry of Health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182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151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46.4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82.1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39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25.8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The Cabinet Office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128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109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73.4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LCBO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101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102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91.2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93.1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6.9</w:t>
            </w:r>
          </w:p>
        </w:tc>
      </w:tr>
    </w:tbl>
    <w:p w:rsidR="00B20D7A" w:rsidRDefault="00B20D7A"/>
    <w:p w:rsidR="00B20D7A" w:rsidRDefault="000E3113">
      <w:r>
        <w:rPr>
          <w:i/>
          <w:iCs/>
          <w:sz w:val="16"/>
          <w:szCs w:val="16"/>
        </w:rPr>
        <w:t xml:space="preserve">*Including Notice of Extension, section 27(1) and Notice to Affected Persons, section 28(1).  Such notices are used in circumstances where, for example, there is a need to search through a large number of records or consult with one or more people outside </w:t>
      </w:r>
      <w:r>
        <w:rPr>
          <w:i/>
          <w:iCs/>
          <w:sz w:val="16"/>
          <w:szCs w:val="16"/>
        </w:rPr>
        <w:t>the organization.</w:t>
      </w:r>
    </w:p>
    <w:p w:rsidR="00B20D7A" w:rsidRDefault="00B20D7A"/>
    <w:p w:rsidR="00B20D7A" w:rsidRDefault="000E3113">
      <w:r>
        <w:br w:type="page"/>
      </w:r>
    </w:p>
    <w:p w:rsidR="00B20D7A" w:rsidRDefault="00B20D7A"/>
    <w:p w:rsidR="00B20D7A" w:rsidRDefault="000E3113">
      <w:r>
        <w:rPr>
          <w:rStyle w:val="fNameTable"/>
        </w:rPr>
        <w:t>Response Rate Compliance (Provincial Institutions except Colleges, Universities and Hospitals)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0"/>
        <w:gridCol w:w="950"/>
        <w:gridCol w:w="980"/>
        <w:gridCol w:w="950"/>
        <w:gridCol w:w="700"/>
        <w:gridCol w:w="1200"/>
        <w:gridCol w:w="900"/>
        <w:gridCol w:w="7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B20D7A"/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Received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Completed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Within 30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Extended Compliance%*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Over 90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the Solicitor General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4749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4567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3896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Children, Community and Social Services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2614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2787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1548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55.5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the Environment, Conservation and Parks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6960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2606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1106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Government &amp; Consumer Services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Transportation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62.7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69.1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the Attorney General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Workplace Safety and Insurance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54.5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17.9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46.4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82.1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25.8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Cabinet Office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LCBO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6.9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Lottery and Gaming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64.8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8.8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Education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62.1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6.9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Legal Aid Ontario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Colleges and Universities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Natural Resources and Forestry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31.3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53.1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31.3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Finance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Metrolinx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Power Generation Inc.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Infrastructure Ontario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52.6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Financial Services Regulatory Authority of Ontario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Pay Equity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Municipal Affairs and Housing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North East Local Health Integration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Agency for Health Protection and Promotion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Parole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 xml:space="preserve">Ministry of Energy, Northern Development and Mines 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61.9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Long Term Care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42.9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Agriculture, Food and Rural Affairs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Economic Development, Job Creation and Trade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37.5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18.8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Treasury Board Secretariat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 Heritage, Sport, Tourism and Culture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Human Rights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Independent Electricity System Operator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Central LHIN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55.6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Indigenous Affairs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37.5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Securities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37.5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Landlord and Tenant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Human Rights Tribunal of Ontairo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Civilian Police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Infrastructure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Patient Ombudsman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Central Local Health Integration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Local Planning Appeal Tribunal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Energy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Northland Transportation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Agricorp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Financial Services Commission of Ontario (interim)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Licence Appeal Tribunal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for Seniors and Accessibility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Niagara Escarpment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Niagara Parks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Central East Local Health Integration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Consent and Capacity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Education Quality and Accountability Office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Erie St. Clair LHIN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Ministry of Intergovernmental Affairs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Ministère des Affaires francophones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Place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Trillium Foundation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Champlain Local Health Integration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Financial Services Tribunal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Haliburton Highlands Health Services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Hamilton Niagara Haldimand Brant Local Health Integration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Human Rights Legal Support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 xml:space="preserve">Ontario Arts Council | Conseil des arts de l'Ontario 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Cannabis Retail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Ontario Clean Water Agency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Owen Sound Transportation Company Limited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Public Service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Royal Ontario Museum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Social Benefits Tribunal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South East Local Health Integration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South West Local Health Integration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St. Lawrence Parks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Trillium Gift of Life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Villa St Gabriel Villa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Workplace Safety and Insurance Appeals Tribunal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shd w:val="clear" w:color="auto" w:fill="A6A6A6"/>
          </w:tcPr>
          <w:p w:rsidR="00B20D7A" w:rsidRDefault="000E3113">
            <w:r>
              <w:rPr>
                <w:rStyle w:val="fSmallFooterTable"/>
                <w:rFonts w:eastAsia="Arial"/>
              </w:rPr>
              <w:t>Total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16930</w:t>
            </w:r>
          </w:p>
        </w:tc>
        <w:tc>
          <w:tcPr>
            <w:tcW w:w="98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12206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8013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65.6</w:t>
            </w:r>
          </w:p>
        </w:tc>
        <w:tc>
          <w:tcPr>
            <w:tcW w:w="12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72.3</w:t>
            </w:r>
          </w:p>
        </w:tc>
        <w:tc>
          <w:tcPr>
            <w:tcW w:w="9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2133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17.5</w:t>
            </w:r>
          </w:p>
        </w:tc>
      </w:tr>
    </w:tbl>
    <w:p w:rsidR="00B20D7A" w:rsidRDefault="00B20D7A"/>
    <w:p w:rsidR="00B20D7A" w:rsidRDefault="000E3113">
      <w:r>
        <w:rPr>
          <w:i/>
          <w:iCs/>
          <w:sz w:val="16"/>
          <w:szCs w:val="16"/>
        </w:rPr>
        <w:t xml:space="preserve">*Including Notice of Extension, section 27(1) and Notice to Affected Persons, section 28(1).  Such notices are used in circumstances where, for example, there is a need to search through a large number of records or consult with one or more people outside </w:t>
      </w:r>
      <w:r>
        <w:rPr>
          <w:i/>
          <w:iCs/>
          <w:sz w:val="16"/>
          <w:szCs w:val="16"/>
        </w:rPr>
        <w:t>the organization.</w:t>
      </w:r>
    </w:p>
    <w:p w:rsidR="00B20D7A" w:rsidRDefault="00B20D7A"/>
    <w:p w:rsidR="00B20D7A" w:rsidRDefault="000E3113">
      <w:r>
        <w:br w:type="page"/>
      </w:r>
    </w:p>
    <w:p w:rsidR="00B20D7A" w:rsidRDefault="00B20D7A"/>
    <w:p w:rsidR="00B20D7A" w:rsidRDefault="000E3113">
      <w:r>
        <w:rPr>
          <w:rStyle w:val="fNameTable"/>
        </w:rPr>
        <w:t>Response Rate Compliance (Hospitals)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0"/>
        <w:gridCol w:w="950"/>
        <w:gridCol w:w="980"/>
        <w:gridCol w:w="950"/>
        <w:gridCol w:w="700"/>
        <w:gridCol w:w="1200"/>
        <w:gridCol w:w="900"/>
        <w:gridCol w:w="7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B20D7A"/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Received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Completed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Within 30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Extended Compliance%*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Over 90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Renfrew Victoria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Campbellford Memorial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London Health Sciences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59.4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Hopital Smooth Rock Falls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Royal Victoria Regional Health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62.1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82.8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Trillium Health Partners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Sensenbrenner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Chatham-Kent Health Alliance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William Osler Health System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Hamilton Health Sciences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Kingston Health Sciences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St. Joseph's Healthcare Hamilton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47.1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Ottawa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52.9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11.8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University Health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84.6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 xml:space="preserve">Humber River Hospital 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North Bay Regional Health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Centre for Addiction and Mental Health (CAMH)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Sinai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Lakeridge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Mackenzie Health - Richmond Hill Site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 xml:space="preserve">Halton Healthcare 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Michael Garron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Niagara Health Systems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Queensway Carleton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Scarborough Health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Hospital for Sick Children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Women's College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Brant Community Healthcare System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Guelph General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North York General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Royal Ottawa Health Care Group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Southlake Regional Health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Thunder Bay Regional Health Sciences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Baycrest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Children's Hospital of Eastern Ontario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Joseph Brant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Markham Stouffville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Sault Area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Stevenson Memorial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Waypoint Centre for Mental Health Care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Cambridge Memorial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Casey House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Grand River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Headwaters Health Care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Hopital General de Hawkesbury &amp; District General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Hotel-Dieu Grace Healthcare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Hôpital Montfort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Lake of the Woods District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Peterborough Regional Health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Quinte Health Care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St. Joseph's Health Care London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St. Joseph's Health Centre Guelph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Grace Health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Bluewater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Health Sciences North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Holland Bloorview Kids Rehabilitation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Kirkland and District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Leslie Lunstroth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North Shore Health Network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Ross Memorial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Runnymede Healthcare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Temiskaming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West Park Healthcare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Alexandra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Anson General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Arnprior &amp; District Memorial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Brockville General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Bruyere Continuing Care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Carleton Place &amp; District Memorial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Clinton Public Hospital Site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Cornwall Community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Englehart and District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Erie Shores HealthCare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Georgian Bay General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Hanover &amp; District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Hotel Dieu Shaver Health and Rehabilitation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Lennox &amp; Addington County General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Listowel Memorial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Manitoulin Health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Nipigon District Memorial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North of Superior Healthcare Group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Pembroke Regional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Sante Manitouwadge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Seaforth Community Hospital Site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Shouldice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South Bruce Grey Health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St. Joseph's Continuing Care Centre of Sudbury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St. Mary's General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St. Mary's Memorial Hospital Site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Stratford General Hospital Site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Tillsonburg District Memorial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West Nipissing General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West Parry Sound Health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Winchester District Memorial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Wingham and District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Woodstock Hospital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shd w:val="clear" w:color="auto" w:fill="A6A6A6"/>
          </w:tcPr>
          <w:p w:rsidR="00B20D7A" w:rsidRDefault="000E3113">
            <w:r>
              <w:rPr>
                <w:rStyle w:val="fSmallFooterTable"/>
                <w:rFonts w:eastAsia="Arial"/>
              </w:rPr>
              <w:t>Total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644</w:t>
            </w:r>
          </w:p>
        </w:tc>
        <w:tc>
          <w:tcPr>
            <w:tcW w:w="98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622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506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81.4</w:t>
            </w:r>
          </w:p>
        </w:tc>
        <w:tc>
          <w:tcPr>
            <w:tcW w:w="12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92.8</w:t>
            </w:r>
          </w:p>
        </w:tc>
        <w:tc>
          <w:tcPr>
            <w:tcW w:w="9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20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3.2</w:t>
            </w:r>
          </w:p>
        </w:tc>
      </w:tr>
    </w:tbl>
    <w:p w:rsidR="00B20D7A" w:rsidRDefault="00B20D7A"/>
    <w:p w:rsidR="00B20D7A" w:rsidRDefault="000E3113">
      <w:r>
        <w:rPr>
          <w:i/>
          <w:iCs/>
          <w:sz w:val="16"/>
          <w:szCs w:val="16"/>
        </w:rPr>
        <w:t xml:space="preserve">*Including Notice of Extension, section 27(1) and Notice to Affected Persons, section 28(1).  Such notices are used in circumstances where, for example, there is a need to search through a large number of records or consult with one or more people outside </w:t>
      </w:r>
      <w:r>
        <w:rPr>
          <w:i/>
          <w:iCs/>
          <w:sz w:val="16"/>
          <w:szCs w:val="16"/>
        </w:rPr>
        <w:t>the organization.</w:t>
      </w:r>
    </w:p>
    <w:p w:rsidR="00B20D7A" w:rsidRDefault="00B20D7A"/>
    <w:p w:rsidR="00B20D7A" w:rsidRDefault="000E3113">
      <w:r>
        <w:br w:type="page"/>
      </w:r>
    </w:p>
    <w:p w:rsidR="00B20D7A" w:rsidRDefault="00B20D7A"/>
    <w:p w:rsidR="00B20D7A" w:rsidRDefault="000E3113">
      <w:r>
        <w:rPr>
          <w:rStyle w:val="fNameTable"/>
        </w:rPr>
        <w:t>Response Rate Compliance (Colleges and Universities)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0"/>
        <w:gridCol w:w="950"/>
        <w:gridCol w:w="980"/>
        <w:gridCol w:w="950"/>
        <w:gridCol w:w="700"/>
        <w:gridCol w:w="1200"/>
        <w:gridCol w:w="900"/>
        <w:gridCol w:w="7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B20D7A"/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Received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Completed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Within 30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Extended Compliance%*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Over 90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Canadore College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University of Toronto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University of Ottawa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61.3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12.9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Confederation College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79.2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79.2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Queen's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79.2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University of Western Ontario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Brock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Carleton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61.9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McMaster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University of Windsor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76.2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University of Waterloo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Ryerson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Sheridan College Institute of Technology and Advanced Learning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Wilfrid Laurier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Humber College Institute of Technology and Advanced Learning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George Brown College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University of Guelph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55.6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Laurentian University of Sudbury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Niagara College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Durham College of Applied Arts and Technology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Fleming College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Lakehead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Seneca College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University of Ontario Institute of Technology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Northern College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St. Lawrence College of Applied Arts and Technology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York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OCAD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Trent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Algonquin College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Georgian College of Applied Arts and Technology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Fanshawe College of Applied Arts and Technology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Loyalist College of Applied Arts and Technology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Nipissing University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Collège La Cité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shd w:val="clear" w:color="auto" w:fill="A6A6A6"/>
          </w:tcPr>
          <w:p w:rsidR="00B20D7A" w:rsidRDefault="000E3113">
            <w:r>
              <w:rPr>
                <w:rStyle w:val="fSmallFooterTable"/>
                <w:rFonts w:eastAsia="Arial"/>
              </w:rPr>
              <w:t>Total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492</w:t>
            </w:r>
          </w:p>
        </w:tc>
        <w:tc>
          <w:tcPr>
            <w:tcW w:w="98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480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373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77.7</w:t>
            </w:r>
          </w:p>
        </w:tc>
        <w:tc>
          <w:tcPr>
            <w:tcW w:w="12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91.7</w:t>
            </w:r>
          </w:p>
        </w:tc>
        <w:tc>
          <w:tcPr>
            <w:tcW w:w="9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23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4.8</w:t>
            </w:r>
          </w:p>
        </w:tc>
      </w:tr>
    </w:tbl>
    <w:p w:rsidR="00B20D7A" w:rsidRDefault="00B20D7A"/>
    <w:p w:rsidR="00B20D7A" w:rsidRDefault="000E3113">
      <w:r>
        <w:rPr>
          <w:i/>
          <w:iCs/>
          <w:sz w:val="16"/>
          <w:szCs w:val="16"/>
        </w:rPr>
        <w:t xml:space="preserve">*Including Notice of Extension, section 27(1) and Notice to Affected Persons, section 28(1).  Such notices are used in circumstances where, for example, there is a need to search through a large number of records or consult with one or more people outside </w:t>
      </w:r>
      <w:r>
        <w:rPr>
          <w:i/>
          <w:iCs/>
          <w:sz w:val="16"/>
          <w:szCs w:val="16"/>
        </w:rPr>
        <w:t>the organization.</w:t>
      </w:r>
    </w:p>
    <w:p w:rsidR="00B20D7A" w:rsidRDefault="00B20D7A"/>
    <w:p w:rsidR="00B20D7A" w:rsidRDefault="000E3113">
      <w:r>
        <w:br w:type="page"/>
      </w:r>
    </w:p>
    <w:p w:rsidR="00B20D7A" w:rsidRDefault="00B20D7A"/>
    <w:p w:rsidR="00B20D7A" w:rsidRDefault="000E3113">
      <w:r>
        <w:rPr>
          <w:rStyle w:val="fHeaderSection"/>
          <w:rFonts w:eastAsia="Arial"/>
        </w:rPr>
        <w:t>Municipal Compliance</w:t>
      </w:r>
    </w:p>
    <w:p w:rsidR="00B20D7A" w:rsidRDefault="00B20D7A"/>
    <w:p w:rsidR="00B20D7A" w:rsidRDefault="000E3113">
      <w:r>
        <w:rPr>
          <w:rStyle w:val="fNameTable"/>
        </w:rPr>
        <w:t>Overall Municipal Compliance:</w:t>
      </w:r>
    </w:p>
    <w:p w:rsidR="00B20D7A" w:rsidRDefault="00B20D7A"/>
    <w:p w:rsidR="00B20D7A" w:rsidRDefault="000E3113">
      <w:r>
        <w:t>30-day:</w:t>
      </w:r>
      <w:r>
        <w:tab/>
      </w:r>
      <w:r>
        <w:tab/>
        <w:t>78.2%</w:t>
      </w:r>
    </w:p>
    <w:p w:rsidR="00B20D7A" w:rsidRDefault="000E3113">
      <w:r>
        <w:t>Extended:</w:t>
      </w:r>
      <w:r>
        <w:tab/>
        <w:t>83.8%</w:t>
      </w:r>
    </w:p>
    <w:p w:rsidR="00B20D7A" w:rsidRDefault="000E3113">
      <w:r>
        <w:t>Over 90 days:</w:t>
      </w:r>
      <w:r>
        <w:tab/>
        <w:t>4.8%</w:t>
      </w:r>
    </w:p>
    <w:p w:rsidR="00B20D7A" w:rsidRDefault="00B20D7A"/>
    <w:p w:rsidR="00B20D7A" w:rsidRDefault="00B20D7A"/>
    <w:p w:rsidR="00B20D7A" w:rsidRDefault="000E3113">
      <w:r>
        <w:rPr>
          <w:rStyle w:val="fNameTable"/>
        </w:rPr>
        <w:t>Top 30 Municipal Institutions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0"/>
        <w:gridCol w:w="950"/>
        <w:gridCol w:w="980"/>
        <w:gridCol w:w="950"/>
        <w:gridCol w:w="700"/>
        <w:gridCol w:w="1200"/>
        <w:gridCol w:w="900"/>
        <w:gridCol w:w="7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B20D7A"/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Received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Completed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Within 30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Extended Compliance%*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Over 90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Toronto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2999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3410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2308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67.7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68.2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512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City of Toronto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2036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1867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37.5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43.7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193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York Regional Police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1377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1447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1330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91.9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92.6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Durham Regional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1268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1257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1179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93.8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Niagara Regional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1017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1112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896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80.6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84.2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Hamilton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1018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1051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1028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97.8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98.6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Waterloo Regional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959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980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78.7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91.3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Peel Regional Police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890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890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Halton Regional Police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1032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756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476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63.5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London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649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679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499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73.5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95.6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Windsor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515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515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81.6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98.8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City of Ottawa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502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506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265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52.4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65.4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Town of Oakville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554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506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473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93.5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93.5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City of Mississauga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634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493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390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79.1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80.7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Ottawa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567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487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309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63.4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63.7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Guelph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398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420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385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91.7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Barrie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253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255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253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99.2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99.2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Bradford West Gwillimbury / Innisfil Police Services Board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232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255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73.3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Region of Peel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273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255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70.6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Chatham-Kent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247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247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97.2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98.8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City of Markham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271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247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196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79.4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81.8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District of Sault Ste. Marie Social Services Administration Board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230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228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228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Corporation City of London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201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198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96.5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District School Board of Niagara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304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169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147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98.8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City of Hamilton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195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168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136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8.9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City of Vaughan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193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165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156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94.5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99.4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Thunder Bay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163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164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159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98.8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Sarnia Police Service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167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160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94.4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City of Cambridge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155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156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111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71.2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71.8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vAlign w:val="center"/>
          </w:tcPr>
          <w:p w:rsidR="00B20D7A" w:rsidRDefault="000E3113">
            <w:r>
              <w:rPr>
                <w:rStyle w:val="fSmallBodyTable"/>
                <w:rFonts w:eastAsia="Arial"/>
              </w:rPr>
              <w:t>York Region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169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153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144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94.1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96.1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</w:tbl>
    <w:p w:rsidR="00B20D7A" w:rsidRDefault="00B20D7A"/>
    <w:p w:rsidR="00B20D7A" w:rsidRDefault="000E3113">
      <w:r>
        <w:rPr>
          <w:i/>
          <w:iCs/>
          <w:sz w:val="16"/>
          <w:szCs w:val="16"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</w:t>
      </w:r>
      <w:r>
        <w:rPr>
          <w:i/>
          <w:iCs/>
          <w:sz w:val="16"/>
          <w:szCs w:val="16"/>
        </w:rPr>
        <w:t>the organization.</w:t>
      </w:r>
    </w:p>
    <w:p w:rsidR="00B20D7A" w:rsidRDefault="00B20D7A"/>
    <w:p w:rsidR="00B20D7A" w:rsidRDefault="000E3113">
      <w:r>
        <w:br w:type="page"/>
      </w:r>
    </w:p>
    <w:p w:rsidR="00B20D7A" w:rsidRDefault="00B20D7A"/>
    <w:p w:rsidR="00B20D7A" w:rsidRDefault="000E3113">
      <w:r>
        <w:rPr>
          <w:rStyle w:val="fNameTable"/>
        </w:rPr>
        <w:t>Response Rate Compliance (School Boards)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0"/>
        <w:gridCol w:w="950"/>
        <w:gridCol w:w="980"/>
        <w:gridCol w:w="950"/>
        <w:gridCol w:w="700"/>
        <w:gridCol w:w="1200"/>
        <w:gridCol w:w="900"/>
        <w:gridCol w:w="7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B20D7A"/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Received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Completed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Within 30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Extended Compliance%*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Over 90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District School Board of Niagara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Waterloo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54.3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Rainy River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des écoles catholiques du Centre-Est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Peel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84.6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York Region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53.8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38.5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Hamilton Wentworth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Waterloo Region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41.7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Thames Valley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scolaire catholique de district des Grandes Rivières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Ottawa-Carleton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44.4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York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Halton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62.5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Durham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37.5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62.5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des écoles publiques de l'Est de l'Ontario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Bluewater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scolaire de district catholique de l'Est ontarien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Halton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Upper Grand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Ottawa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Algonquin and Lakeshore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scolaire catholique MonAvenir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Greater Essex County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Peterborough Victoria Northumberland and Clarington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Simcoe County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Trillium Lakelands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Windsor-Essex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scolaire Viamonde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scolaire de district catholique Franco-Nord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scolaire de district catholique des Aurores boreales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scolaire de district catholique du Nouvel-Ontario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scolaire public du Nord-Est de l'Ontario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Dufferin-Peel Catholic DSBoard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Kawartha Pine Ridge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Limestone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Renfrew County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Renfrew County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Simcoe Muskoka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Avon Maitland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Bruce-Grey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Conseil scolaire public du Grand Nord de l'Ontario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Grand Erie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Kenora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Lambton Kent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Niagara Catholic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Rainbow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Superior-Greenstone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Upper Canada District School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shd w:val="clear" w:color="auto" w:fill="A6A6A6"/>
          </w:tcPr>
          <w:p w:rsidR="00B20D7A" w:rsidRDefault="000E3113">
            <w:r>
              <w:rPr>
                <w:rStyle w:val="fSmallFooterTable"/>
                <w:rFonts w:eastAsia="Arial"/>
              </w:rPr>
              <w:t>Total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648</w:t>
            </w:r>
          </w:p>
        </w:tc>
        <w:tc>
          <w:tcPr>
            <w:tcW w:w="98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483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365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75.6</w:t>
            </w:r>
          </w:p>
        </w:tc>
        <w:tc>
          <w:tcPr>
            <w:tcW w:w="12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88.8</w:t>
            </w:r>
          </w:p>
        </w:tc>
        <w:tc>
          <w:tcPr>
            <w:tcW w:w="9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38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7.9</w:t>
            </w:r>
          </w:p>
        </w:tc>
      </w:tr>
    </w:tbl>
    <w:p w:rsidR="00B20D7A" w:rsidRDefault="00B20D7A"/>
    <w:p w:rsidR="00B20D7A" w:rsidRDefault="000E3113">
      <w:r>
        <w:rPr>
          <w:i/>
          <w:iCs/>
          <w:sz w:val="16"/>
          <w:szCs w:val="16"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</w:t>
      </w:r>
      <w:r>
        <w:rPr>
          <w:i/>
          <w:iCs/>
          <w:sz w:val="16"/>
          <w:szCs w:val="16"/>
        </w:rPr>
        <w:t>the organization.</w:t>
      </w:r>
    </w:p>
    <w:p w:rsidR="00B20D7A" w:rsidRDefault="00B20D7A"/>
    <w:p w:rsidR="00B20D7A" w:rsidRDefault="000E3113">
      <w:r>
        <w:br w:type="page"/>
      </w:r>
    </w:p>
    <w:p w:rsidR="00B20D7A" w:rsidRDefault="00B20D7A"/>
    <w:p w:rsidR="00B20D7A" w:rsidRDefault="000E3113">
      <w:r>
        <w:rPr>
          <w:rStyle w:val="fNameTable"/>
        </w:rPr>
        <w:t>Response Rate Compliance (Health Boards)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0"/>
        <w:gridCol w:w="950"/>
        <w:gridCol w:w="980"/>
        <w:gridCol w:w="950"/>
        <w:gridCol w:w="700"/>
        <w:gridCol w:w="1200"/>
        <w:gridCol w:w="900"/>
        <w:gridCol w:w="7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B20D7A"/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Received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Completed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Within 30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Extended Compliance%*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Over 90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Windsor-Essex County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Haldimand-Norfolk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Middlesex-London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Peterborough Public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57.1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North Bay Parry Sound District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Haliburton, Kawartha, Pine Ridge District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Leeds, Grenville &amp; Lanark District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Kingston, Frontenac ,Lennox and Addington Public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Public Health Sudbury &amp; Districts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Thunder Bay District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Wellington Dufferin Guelph Public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Grey Bruce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Northwestern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Algoma Public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Eastern Ontario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Porcupine Health Unit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shd w:val="clear" w:color="auto" w:fill="A6A6A6"/>
          </w:tcPr>
          <w:p w:rsidR="00B20D7A" w:rsidRDefault="000E3113">
            <w:r>
              <w:rPr>
                <w:rStyle w:val="fSmallFooterTable"/>
                <w:rFonts w:eastAsia="Arial"/>
              </w:rPr>
              <w:t>Total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102</w:t>
            </w:r>
          </w:p>
        </w:tc>
        <w:tc>
          <w:tcPr>
            <w:tcW w:w="98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98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85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86.7</w:t>
            </w:r>
          </w:p>
        </w:tc>
        <w:tc>
          <w:tcPr>
            <w:tcW w:w="12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95.9</w:t>
            </w:r>
          </w:p>
        </w:tc>
        <w:tc>
          <w:tcPr>
            <w:tcW w:w="9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2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2</w:t>
            </w:r>
          </w:p>
        </w:tc>
      </w:tr>
    </w:tbl>
    <w:p w:rsidR="00B20D7A" w:rsidRDefault="00B20D7A"/>
    <w:p w:rsidR="00B20D7A" w:rsidRDefault="000E3113">
      <w:r>
        <w:rPr>
          <w:i/>
          <w:iCs/>
          <w:sz w:val="16"/>
          <w:szCs w:val="16"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</w:t>
      </w:r>
      <w:r>
        <w:rPr>
          <w:i/>
          <w:iCs/>
          <w:sz w:val="16"/>
          <w:szCs w:val="16"/>
        </w:rPr>
        <w:t>the organization.</w:t>
      </w:r>
    </w:p>
    <w:p w:rsidR="00B20D7A" w:rsidRDefault="00B20D7A"/>
    <w:p w:rsidR="00B20D7A" w:rsidRDefault="000E3113">
      <w:r>
        <w:br w:type="page"/>
      </w:r>
    </w:p>
    <w:p w:rsidR="00B20D7A" w:rsidRDefault="00B20D7A"/>
    <w:p w:rsidR="00B20D7A" w:rsidRDefault="000E3113">
      <w:r>
        <w:rPr>
          <w:rStyle w:val="fNameTable"/>
        </w:rPr>
        <w:t>Response Rate Compliance (Police)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0"/>
        <w:gridCol w:w="950"/>
        <w:gridCol w:w="980"/>
        <w:gridCol w:w="950"/>
        <w:gridCol w:w="700"/>
        <w:gridCol w:w="1200"/>
        <w:gridCol w:w="900"/>
        <w:gridCol w:w="7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B20D7A"/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Received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Completed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Within 30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Extended Compliance%*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Over 90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2999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3410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2308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67.7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York Regional Police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1377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1447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1330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Durham Regional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1268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1257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1179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Niagara Regional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1017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1112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84.2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Hamilton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1018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1051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1028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Waterloo Regional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78.7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Peel Regional Police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Halton Regional Police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1032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London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649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679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499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Windsor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Ottawa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567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487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Guelph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398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385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Barrie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99.2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99.2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Bradford West Gwillimbury / Innisfil Police Services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Chatham-Kent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Thunder Bay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Sarnia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Peterborough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Strathroy-Caradoc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Brantford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St. Thomas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Stratford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Kawartha Lakes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Cobourg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Greater Sudbury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Port Hope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84.4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Cornwall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Timmins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Belleville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Gananoque Police Services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LaSalle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Smiths Falls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Hanover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Saugeen Shores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Sault Ste. Marie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West Grey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Brockville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72.7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72.7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Dryden Police Service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Kingston Police Services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Aylmer Police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Deep River Police Services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shd w:val="clear" w:color="auto" w:fill="A6A6A6"/>
          </w:tcPr>
          <w:p w:rsidR="00B20D7A" w:rsidRDefault="000E3113">
            <w:r>
              <w:rPr>
                <w:rStyle w:val="fSmallFooterTable"/>
                <w:rFonts w:eastAsia="Arial"/>
              </w:rPr>
              <w:t>Total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14740</w:t>
            </w:r>
          </w:p>
        </w:tc>
        <w:tc>
          <w:tcPr>
            <w:tcW w:w="98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15054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12280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81.6</w:t>
            </w:r>
          </w:p>
        </w:tc>
        <w:tc>
          <w:tcPr>
            <w:tcW w:w="12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85.7</w:t>
            </w:r>
          </w:p>
        </w:tc>
        <w:tc>
          <w:tcPr>
            <w:tcW w:w="9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703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4.7</w:t>
            </w:r>
          </w:p>
        </w:tc>
      </w:tr>
    </w:tbl>
    <w:p w:rsidR="00B20D7A" w:rsidRDefault="00B20D7A"/>
    <w:p w:rsidR="00B20D7A" w:rsidRDefault="000E3113">
      <w:r>
        <w:rPr>
          <w:i/>
          <w:iCs/>
          <w:sz w:val="16"/>
          <w:szCs w:val="16"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</w:t>
      </w:r>
      <w:r>
        <w:rPr>
          <w:i/>
          <w:iCs/>
          <w:sz w:val="16"/>
          <w:szCs w:val="16"/>
        </w:rPr>
        <w:t>the organization.</w:t>
      </w:r>
    </w:p>
    <w:p w:rsidR="00B20D7A" w:rsidRDefault="00B20D7A"/>
    <w:p w:rsidR="00B20D7A" w:rsidRDefault="000E3113">
      <w:r>
        <w:br w:type="page"/>
      </w:r>
    </w:p>
    <w:p w:rsidR="00B20D7A" w:rsidRDefault="00B20D7A"/>
    <w:p w:rsidR="00B20D7A" w:rsidRDefault="000E3113">
      <w:r>
        <w:rPr>
          <w:rStyle w:val="fNameTable"/>
        </w:rPr>
        <w:t>Response Rate Compliance (Municipal Corporations)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0"/>
        <w:gridCol w:w="950"/>
        <w:gridCol w:w="980"/>
        <w:gridCol w:w="950"/>
        <w:gridCol w:w="700"/>
        <w:gridCol w:w="1200"/>
        <w:gridCol w:w="900"/>
        <w:gridCol w:w="7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B20D7A"/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Received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Completed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Within 30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Extended Compliance%*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Over 90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Toronto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2036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1867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37.5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43.7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Ottawa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52.4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65.4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Oakville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554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Mississauga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493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390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79.1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Region of Peel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Markham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79.4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City of London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Hamilton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8.9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Vaughan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99.4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City of Cambridge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York Region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Regional Municipality of Durham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84.1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Brampton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61.4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Oshawa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Greater Sudbury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Peterborough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99.2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Georgina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Brantford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78.6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Windsor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Kitchener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 xml:space="preserve">Municipality of Chatham-Kent 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Guelph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New Tecumseth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Niagara Region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Sault Ste. Marie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Barrie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Innisfil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Norfolk County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North Bay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Caledon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76.1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Milton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Waterloo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79.7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County of Brant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Niagara Falls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Burlington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St. Catharines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East Gwillimbury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Kingston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Centre Wellington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Township of North Dumfries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Regional Municipality of Halton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 of Aurora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Thunder Bay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63.4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Clarington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65.9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9.8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Newmarket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65.9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70.7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King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82.9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82.9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9.8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Whitby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Kawartha Lakes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Seguin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Welland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Oro-Medonte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 Property Assessment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82.8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Whitchurch-Stouffville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79.3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79.3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Pickering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89.3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Stratford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Dufferin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County of Lambton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Bradford West Gwillimbury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84.6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96.2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Niagara-on-the-Lake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34.6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Simcoe - General Government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Clearview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County of Grey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91.3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Mattawa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Springwater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95.7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Clarence-Rockland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54.5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54.5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Collingwood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Lakeshore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Russell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 of Grimsby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The Blue Mountains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Sarnia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68.4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Haldimand County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72.2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County of Wellington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Halton Hills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94.4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Wasaga Beach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Prince Edward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64.7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South Glengarry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 of Ajax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Thorold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81.3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Espanola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Muskoka Lakes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93.8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St. Thomas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Woodstock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City of Orillia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Leamington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 of Midland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Pelham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Municipality of West Nipissing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 of Gravenhurst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61.5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Oxford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Owen Sound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30.8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23.1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Tay Valley Township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Parry Sound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58.3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South Bruce Peninsula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Minden Hills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Mississippi Mills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72.7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72.7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District Municipality of Muskoka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LaSalle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36.4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Orangeville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United Counties of Prescott and Russell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Amherstburg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Scugog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Municipality of French River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Municipality of Port Hope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 of Ingersoll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Township of Brock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Grey Highlands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Fort Erie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77.8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Huntsville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55.6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55.6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West Lincoln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West Grey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Arnprior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Carleton Place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Shelburne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Adjala-Tosorontio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Uxbridge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Wilmot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12.5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Port Colborne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County of Essex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85.7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Hastings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57.1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Northern Bruce Peninsula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Leeds and the Thousand Islands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71.4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South Frontenac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 of Timmins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Municipality of Tweed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 of Essex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Township of Algonquin Highlands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Elgin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Middlesex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Northumberland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Municipalité de Casselman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Municipality of Strathroy-Caradoc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Municipality of Bluewater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 of Bracebridge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Guelph/Eramosa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Tiny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Town of Plympton-Wyoming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Alnwick/Haldimand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Essa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Madawaska Valley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Wollaston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Woolwich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 of St. Marys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County of Haliburton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Bruce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InnServices Utilities Inc.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Bayham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Brighton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Central Elgin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Trent Lakes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Municipality of Kincardine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 of Kingsville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Cavan Monaghan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North Glengarry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Ramara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South Stormont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Tay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Municipality of North Grenville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Huron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North Middlesex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Temagami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North Algona Wilberforce Township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Brockville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Elliot Lake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Cramahe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Cochrane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Greater Napanee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Petawawa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Alfred and Plantagenet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Central Frontenac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Puslinch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United Counties of Leeds and Grenville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 of Fort Frances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Township of Montague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Lambton Public Health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Powassan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Trent Hills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City of Kenora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Adelaide Metcalfe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Lanark Highlands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North Frontenac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Rideau Lakes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Erin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Gananoque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Iroquois Falls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Mono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Edwardsburgh/Cardinal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Huron-Kinloss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Selwyn (formerly Smith-Ennismore-Lakefield)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Southgate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Wellesley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Municipality of Markstay-Warren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 of Kirkland Lake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County of Frontenac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Lanark County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Arran-Elderslie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Callander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Dysart et al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Lambton Shores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North Perth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Oliver Paipoonge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Sioux Lookout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South Dundas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South Huron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St.-Charles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Thames Centre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Loyalist Township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Municipality of Brockton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Municipality of Dutton/Dunwich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Municipality of Killarney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 of Perth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Carlow/Mayo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Municipality of Huron Shores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Hearst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Kapuskasing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Tecumseh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Asphodel-Norwood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Augusta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Beckwith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Blandford-Blenheim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Georgian Bluffs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Greater Madawaska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Lucan Biddulph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Otonabee-South Monaghan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Perth East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St. Clair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The Archipelago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Bonnechere Valley Twp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Township of Hamilton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 of Aylmer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City of Dryden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City of Pembroke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Municipality of Meaford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 of Northeastern Manitoulin and the Islands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 of Rainy River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Township of Lake of Bays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Township of Sables-Spanish Rivers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Corporation of the Township of South Algonquin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Municipalite - East Ferris - Municipality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Brooke-Alvinston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Hastings Highlands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Huron East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Municipality of West Elgin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Town of Minto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 of Cobourg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 of Goderich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 of Kearney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 of Petrolia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Corporation of the Township of Champlain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Blind River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Deep River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Laurentian Hills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 of Penetanguishene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Black River-Mathes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Bonfield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Chatsworth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Emo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Faraday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Front of Yonge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Havelock-Belmont-Methuen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Hornepayne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Malahide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Mcnab/Braeside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Nipissing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North Dundas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North Kawartha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Schreiber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Severn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Strong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Township of Whitewater Region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United Counties of Stormont, Dundas and Glengarry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Village of Westport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Wellington County Museum and Archives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shd w:val="clear" w:color="auto" w:fill="A6A6A6"/>
          </w:tcPr>
          <w:p w:rsidR="00B20D7A" w:rsidRDefault="000E3113">
            <w:r>
              <w:rPr>
                <w:rStyle w:val="fSmallFooterTable"/>
                <w:rFonts w:eastAsia="Arial"/>
              </w:rPr>
              <w:t>Total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9596</w:t>
            </w:r>
          </w:p>
        </w:tc>
        <w:tc>
          <w:tcPr>
            <w:tcW w:w="98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8962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6396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71.4</w:t>
            </w:r>
          </w:p>
        </w:tc>
        <w:tc>
          <w:tcPr>
            <w:tcW w:w="12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79</w:t>
            </w:r>
          </w:p>
        </w:tc>
        <w:tc>
          <w:tcPr>
            <w:tcW w:w="9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475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5.3</w:t>
            </w:r>
          </w:p>
        </w:tc>
      </w:tr>
    </w:tbl>
    <w:p w:rsidR="00B20D7A" w:rsidRDefault="00B20D7A"/>
    <w:p w:rsidR="00B20D7A" w:rsidRDefault="000E3113">
      <w:r>
        <w:rPr>
          <w:i/>
          <w:iCs/>
          <w:sz w:val="16"/>
          <w:szCs w:val="16"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</w:t>
      </w:r>
      <w:r>
        <w:rPr>
          <w:i/>
          <w:iCs/>
          <w:sz w:val="16"/>
          <w:szCs w:val="16"/>
        </w:rPr>
        <w:t>the organization.</w:t>
      </w:r>
    </w:p>
    <w:p w:rsidR="00B20D7A" w:rsidRDefault="00B20D7A"/>
    <w:p w:rsidR="00B20D7A" w:rsidRDefault="00B20D7A"/>
    <w:p w:rsidR="00B20D7A" w:rsidRDefault="000E3113">
      <w:r>
        <w:rPr>
          <w:rStyle w:val="fNameTable"/>
        </w:rPr>
        <w:t>Response Rate Compliance (Municipal Other)</w:t>
      </w:r>
    </w:p>
    <w:p w:rsidR="00B20D7A" w:rsidRDefault="00B20D7A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0"/>
        <w:gridCol w:w="950"/>
        <w:gridCol w:w="980"/>
        <w:gridCol w:w="950"/>
        <w:gridCol w:w="700"/>
        <w:gridCol w:w="1200"/>
        <w:gridCol w:w="900"/>
        <w:gridCol w:w="700"/>
      </w:tblGrid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B20D7A"/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Received</w:t>
            </w:r>
          </w:p>
        </w:tc>
        <w:tc>
          <w:tcPr>
            <w:tcW w:w="98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Requests Completed</w:t>
            </w:r>
          </w:p>
        </w:tc>
        <w:tc>
          <w:tcPr>
            <w:tcW w:w="95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Within 30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  <w:tc>
          <w:tcPr>
            <w:tcW w:w="12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Extended Compliance%*</w:t>
            </w:r>
          </w:p>
        </w:tc>
        <w:tc>
          <w:tcPr>
            <w:tcW w:w="9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Over 90 Days</w:t>
            </w:r>
          </w:p>
        </w:tc>
        <w:tc>
          <w:tcPr>
            <w:tcW w:w="700" w:type="dxa"/>
            <w:vAlign w:val="center"/>
          </w:tcPr>
          <w:p w:rsidR="00B20D7A" w:rsidRDefault="000E3113">
            <w:pPr>
              <w:jc w:val="center"/>
            </w:pPr>
            <w:r>
              <w:rPr>
                <w:rStyle w:val="fSmallHeaderTable"/>
                <w:rFonts w:eastAsia="Arial"/>
              </w:rPr>
              <w:t>%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District of Sault Ste. Marie Social Services Administration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230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228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228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District of Nipissing Social Services Administration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Transit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147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73.5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76.5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4.4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Community Housing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143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120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97.6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1.6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Ottawa Community Housing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90.4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and Region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62.5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97.5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District of Thunder Bay Social Services Administration Board (TBDSSAB)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87.9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Lake Simcoe Region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25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88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96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Kenora District Services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Niagara Peninsula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76.9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92.3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Cochrane DSSAB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Hydro Ottawa Limited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9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Rossport Local Roads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Public Library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16.7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Long Point Region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75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Nottawasaga Valley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Rideau Valley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4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Durham Region Transit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Saugeen Valley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33.3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The Blue Mountains Attainable Housing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Hydro-Electric System Limited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66.7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Alectra Utilities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Cataraqui Region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Grand River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London Transit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Otonabee Region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Peterborough Utilities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South Nation River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St. Clair Region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Parking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50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Upper Thames River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Ausable Bayfield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Board of Governors of Exhibition Place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 xml:space="preserve">Burlington Public Library 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Central Lake Ontario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3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Chapleau Public Utilities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Chatham-Kent Public Utilities Commission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CityHousing Hamilton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Credit Valley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Halton Community Housing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Hamilton Region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Innisfil Public Library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Kawartha Region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Kingston and Frontenac Housing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London Hydro Inc.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Lower Trent Region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Mississauga Library System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Niagara Falls Public Library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North Bay-Mattawa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Ottawa Public Library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Rainy River District Social Services Administration Board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2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Sault Ste. Marie Region Conservation Authority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Toronto Hydro Energy Services Inc.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Wellington North Power Inc.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100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</w:tcPr>
          <w:p w:rsidR="00B20D7A" w:rsidRDefault="000E3113">
            <w:r>
              <w:rPr>
                <w:rStyle w:val="fSmallBodyTable"/>
                <w:rFonts w:eastAsia="Arial"/>
              </w:rPr>
              <w:t>Windsor Essex Community Housing Corporation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8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1</w:t>
            </w:r>
          </w:p>
        </w:tc>
        <w:tc>
          <w:tcPr>
            <w:tcW w:w="95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12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9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  <w:tc>
          <w:tcPr>
            <w:tcW w:w="700" w:type="dxa"/>
          </w:tcPr>
          <w:p w:rsidR="00B20D7A" w:rsidRDefault="000E3113">
            <w:pPr>
              <w:jc w:val="center"/>
            </w:pPr>
            <w:r>
              <w:rPr>
                <w:rStyle w:val="fSmallBodyTable"/>
                <w:rFonts w:eastAsia="Arial"/>
              </w:rPr>
              <w:t>0</w:t>
            </w:r>
          </w:p>
        </w:tc>
      </w:tr>
      <w:tr w:rsidR="00B20D7A">
        <w:tblPrEx>
          <w:tblCellMar>
            <w:top w:w="0" w:type="dxa"/>
            <w:bottom w:w="0" w:type="dxa"/>
          </w:tblCellMar>
        </w:tblPrEx>
        <w:tc>
          <w:tcPr>
            <w:tcW w:w="3400" w:type="dxa"/>
            <w:shd w:val="clear" w:color="auto" w:fill="A6A6A6"/>
          </w:tcPr>
          <w:p w:rsidR="00B20D7A" w:rsidRDefault="000E3113">
            <w:r>
              <w:rPr>
                <w:rStyle w:val="fSmallFooterTable"/>
                <w:rFonts w:eastAsia="Arial"/>
              </w:rPr>
              <w:t>Total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1015</w:t>
            </w:r>
          </w:p>
        </w:tc>
        <w:tc>
          <w:tcPr>
            <w:tcW w:w="98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971</w:t>
            </w:r>
          </w:p>
        </w:tc>
        <w:tc>
          <w:tcPr>
            <w:tcW w:w="95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870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89.6</w:t>
            </w:r>
          </w:p>
        </w:tc>
        <w:tc>
          <w:tcPr>
            <w:tcW w:w="12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94.3</w:t>
            </w:r>
          </w:p>
        </w:tc>
        <w:tc>
          <w:tcPr>
            <w:tcW w:w="9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14</w:t>
            </w:r>
          </w:p>
        </w:tc>
        <w:tc>
          <w:tcPr>
            <w:tcW w:w="700" w:type="dxa"/>
            <w:shd w:val="clear" w:color="auto" w:fill="A6A6A6"/>
          </w:tcPr>
          <w:p w:rsidR="00B20D7A" w:rsidRDefault="000E3113">
            <w:pPr>
              <w:jc w:val="center"/>
            </w:pPr>
            <w:r>
              <w:rPr>
                <w:rStyle w:val="fSmallFooterTable"/>
                <w:rFonts w:eastAsia="Arial"/>
              </w:rPr>
              <w:t>1.4</w:t>
            </w:r>
          </w:p>
        </w:tc>
      </w:tr>
    </w:tbl>
    <w:p w:rsidR="00B20D7A" w:rsidRDefault="00B20D7A"/>
    <w:p w:rsidR="00B20D7A" w:rsidRDefault="000E3113">
      <w:r>
        <w:rPr>
          <w:i/>
          <w:iCs/>
          <w:sz w:val="16"/>
          <w:szCs w:val="16"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</w:t>
      </w:r>
      <w:r>
        <w:rPr>
          <w:i/>
          <w:iCs/>
          <w:sz w:val="16"/>
          <w:szCs w:val="16"/>
        </w:rPr>
        <w:t>the organization.</w:t>
      </w:r>
    </w:p>
    <w:p w:rsidR="00B20D7A" w:rsidRDefault="00B20D7A"/>
    <w:sectPr w:rsidR="00B20D7A">
      <w:footerReference w:type="default" r:id="rId6"/>
      <w:pgSz w:w="11870" w:h="16787"/>
      <w:pgMar w:top="400" w:right="1000" w:bottom="500" w:left="10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E3113">
      <w:pPr>
        <w:spacing w:after="0" w:line="240" w:lineRule="auto"/>
      </w:pPr>
      <w:r>
        <w:separator/>
      </w:r>
    </w:p>
  </w:endnote>
  <w:endnote w:type="continuationSeparator" w:id="0">
    <w:p w:rsidR="00000000" w:rsidRDefault="000E3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aettenschweiler;Impac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D7A" w:rsidRDefault="000E3113">
    <w:r>
      <w:rPr>
        <w:rFonts w:ascii="Times New Roman" w:eastAsia="Times New Roman" w:hAnsi="Times New Roman" w:cs="Times New Roman"/>
        <w:sz w:val="16"/>
        <w:szCs w:val="16"/>
      </w:rPr>
      <w:t>2020 Annual Report External Statistics</w:t>
    </w:r>
    <w:r>
      <w:rPr>
        <w:rFonts w:ascii="Times New Roman" w:eastAsia="Times New Roman" w:hAnsi="Times New Roman" w:cs="Times New Roman"/>
        <w:sz w:val="16"/>
        <w:szCs w:val="16"/>
      </w:rPr>
      <w:tab/>
      <w:t>June 23, 2021 13:46:21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 w:rsidR="00421FB8"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1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 w:rsidR="00421FB8"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29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E3113">
      <w:pPr>
        <w:spacing w:after="0" w:line="240" w:lineRule="auto"/>
      </w:pPr>
      <w:r>
        <w:separator/>
      </w:r>
    </w:p>
  </w:footnote>
  <w:footnote w:type="continuationSeparator" w:id="0">
    <w:p w:rsidR="00000000" w:rsidRDefault="000E31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D7A"/>
    <w:rsid w:val="000E3113"/>
    <w:rsid w:val="00421FB8"/>
    <w:rsid w:val="00B2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7A5291-7BBF-445B-AD48-46A3D130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HeaderDocument">
    <w:name w:val="pHeaderDocument"/>
    <w:basedOn w:val="Normal"/>
    <w:pPr>
      <w:spacing w:line="240" w:lineRule="auto"/>
    </w:pPr>
  </w:style>
  <w:style w:type="character" w:customStyle="1" w:styleId="fHeaderDocument">
    <w:name w:val="fHeaderDocument"/>
    <w:rPr>
      <w:rFonts w:ascii="Times New Roman" w:eastAsia="Times New Roman" w:hAnsi="Times New Roman" w:cs="Times New Roman"/>
      <w:sz w:val="44"/>
      <w:szCs w:val="44"/>
    </w:rPr>
  </w:style>
  <w:style w:type="character" w:customStyle="1" w:styleId="fHeaderSection">
    <w:name w:val="fHeaderSection"/>
    <w:rPr>
      <w:rFonts w:ascii="Times New Roman" w:eastAsia="Times New Roman" w:hAnsi="Times New Roman" w:cs="Times New Roman"/>
      <w:sz w:val="36"/>
      <w:szCs w:val="36"/>
    </w:rPr>
  </w:style>
  <w:style w:type="character" w:customStyle="1" w:styleId="fNameTable">
    <w:name w:val="fNameTable"/>
    <w:rPr>
      <w:rFonts w:ascii="Haettenschweiler;Impact" w:eastAsia="Haettenschweiler;Impact" w:hAnsi="Haettenschweiler;Impact" w:cs="Haettenschweiler;Impact"/>
      <w:b/>
      <w:sz w:val="24"/>
      <w:szCs w:val="24"/>
    </w:rPr>
  </w:style>
  <w:style w:type="paragraph" w:customStyle="1" w:styleId="pHeaderTable">
    <w:name w:val="pHeaderTable"/>
    <w:basedOn w:val="Normal"/>
    <w:pPr>
      <w:jc w:val="center"/>
    </w:pPr>
  </w:style>
  <w:style w:type="character" w:customStyle="1" w:styleId="fHeaderTable">
    <w:name w:val="fHeaderTabl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SmallHeaderTable">
    <w:name w:val="fSmallHeaderTable"/>
    <w:rPr>
      <w:rFonts w:ascii="Times New Roman" w:eastAsia="Times New Roman" w:hAnsi="Times New Roman" w:cs="Times New Roman"/>
      <w:b/>
      <w:sz w:val="16"/>
      <w:szCs w:val="16"/>
    </w:rPr>
  </w:style>
  <w:style w:type="character" w:customStyle="1" w:styleId="fSmallBodyTable">
    <w:name w:val="fSmallBodyTable"/>
    <w:rPr>
      <w:rFonts w:ascii="Times New Roman" w:eastAsia="Times New Roman" w:hAnsi="Times New Roman" w:cs="Times New Roman"/>
      <w:sz w:val="18"/>
      <w:szCs w:val="18"/>
    </w:rPr>
  </w:style>
  <w:style w:type="character" w:customStyle="1" w:styleId="fFooterTable">
    <w:name w:val="fFooterTabl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SmallFooterTable">
    <w:name w:val="fSmallFooterTable"/>
    <w:rPr>
      <w:rFonts w:ascii="Times New Roman" w:eastAsia="Times New Roman" w:hAnsi="Times New Roman" w:cs="Times New Roman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6340</Words>
  <Characters>36142</Characters>
  <Application>Microsoft Office Word</Application>
  <DocSecurity>0</DocSecurity>
  <Lines>301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Corlett</dc:creator>
  <cp:keywords/>
  <dc:description/>
  <cp:lastModifiedBy>Andrea Corlett</cp:lastModifiedBy>
  <cp:revision>2</cp:revision>
  <dcterms:created xsi:type="dcterms:W3CDTF">2021-06-23T13:48:00Z</dcterms:created>
  <dcterms:modified xsi:type="dcterms:W3CDTF">2021-06-23T13:48:00Z</dcterms:modified>
  <cp:category/>
</cp:coreProperties>
</file>