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HeaderDocument"/>
      </w:pPr>
      <w:r>
        <w:rPr>
          <w:rStyle w:val="fHeaderDocument"/>
        </w:rPr>
        <w:t xml:space="preserve">Requests by the Public under </w:t>
      </w:r>
      <w:r>
        <w:rPr>
          <w:rFonts w:ascii="Times New Roman" w:hAnsi="Times New Roman" w:eastAsia="Times New Roman" w:cs="Times New Roman"/>
          <w:sz w:val="44"/>
          <w:szCs w:val="44"/>
          <w:i/>
          <w:iCs/>
        </w:rPr>
        <w:t xml:space="preserve">FIPPA/MFIPPA</w:t>
      </w:r>
    </w:p>
    <w:p>
      <w:pPr/>
      <w:r>
        <w:rPr/>
        <w:t xml:space="preserve"/>
      </w:r>
    </w:p>
    <w:p>
      <w:pPr/>
      <w:r>
        <w:rPr/>
        <w:t xml:space="preserve">There were 70293 freedom of information (FOI) requests filed across Ontario in 2024, above a 6% increase over 2023 where 66422 were filed.</w:t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Total FOI Requests Filed by Jurisdiction and Records Type</w:t>
      </w:r>
    </w:p>
    <w:p>
      <w:pPr/>
      <w:r>
        <w:rPr/>
        <w:t xml:space="preserve"/>
      </w:r>
    </w:p>
    <w:tbl>
      <w:tblGrid>
        <w:gridCol w:w="1800" w:type="dxa"/>
        <w:gridCol w:w="2500" w:type="dxa"/>
        <w:gridCol w:w="2400" w:type="dxa"/>
        <w:gridCol w:w="14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1800" w:type="dxa"/>
          </w:tcPr>
          <w:p>
            <w:pPr/>
            <w:r>
              <w:rPr/>
              <w:t xml:space="preserve"/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Personal Information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General Records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1800" w:type="dxa"/>
          </w:tcPr>
          <w:p>
            <w:pPr/>
            <w:r>
              <w:rPr/>
              <w:t xml:space="preserve">Municipal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/>
              <w:t xml:space="preserve">23780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/>
              <w:t xml:space="preserve">18167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41947</w:t>
            </w:r>
          </w:p>
        </w:tc>
      </w:tr>
      <w:tr>
        <w:trPr/>
        <w:tc>
          <w:tcPr>
            <w:tcW w:w="1800" w:type="dxa"/>
          </w:tcPr>
          <w:p>
            <w:pPr/>
            <w:r>
              <w:rPr/>
              <w:t xml:space="preserve">Provincial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/>
              <w:t xml:space="preserve">12472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/>
              <w:t xml:space="preserve">15874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28346</w:t>
            </w:r>
          </w:p>
        </w:tc>
      </w:tr>
      <w:tr>
        <w:trPr/>
        <w:tc>
          <w:tcPr>
            <w:tcW w:w="1800" w:type="dxa"/>
            <w:shd w:val="clear" w:color="" w:fill="A6A6A6"/>
          </w:tcPr>
          <w:p>
            <w:pPr/>
            <w:r>
              <w:rPr>
                <w:rStyle w:val="fFooterTable"/>
              </w:rPr>
              <w:t xml:space="preserve">Total</w:t>
            </w:r>
          </w:p>
        </w:tc>
        <w:tc>
          <w:tcPr>
            <w:tcW w:w="25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36252</w:t>
            </w:r>
          </w:p>
        </w:tc>
        <w:tc>
          <w:tcPr>
            <w:tcW w:w="24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34041</w:t>
            </w:r>
          </w:p>
        </w:tc>
        <w:tc>
          <w:tcPr>
            <w:tcW w:w="14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70293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Total FOI Requests Completed by Jurisdiction and Records Type</w:t>
      </w:r>
    </w:p>
    <w:p>
      <w:pPr/>
      <w:r>
        <w:rPr/>
        <w:t xml:space="preserve"/>
      </w:r>
    </w:p>
    <w:tbl>
      <w:tblGrid>
        <w:gridCol w:w="1800" w:type="dxa"/>
        <w:gridCol w:w="2500" w:type="dxa"/>
        <w:gridCol w:w="2400" w:type="dxa"/>
        <w:gridCol w:w="14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1800" w:type="dxa"/>
          </w:tcPr>
          <w:p>
            <w:pPr/>
            <w:r>
              <w:rPr/>
              <w:t xml:space="preserve"/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Personal Information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General Records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1800" w:type="dxa"/>
          </w:tcPr>
          <w:p>
            <w:pPr/>
            <w:r>
              <w:rPr/>
              <w:t xml:space="preserve">Municipal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/>
              <w:t xml:space="preserve">23285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/>
              <w:t xml:space="preserve">17394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40679</w:t>
            </w:r>
          </w:p>
        </w:tc>
      </w:tr>
      <w:tr>
        <w:trPr/>
        <w:tc>
          <w:tcPr>
            <w:tcW w:w="1800" w:type="dxa"/>
          </w:tcPr>
          <w:p>
            <w:pPr/>
            <w:r>
              <w:rPr/>
              <w:t xml:space="preserve">Provincial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/>
              <w:t xml:space="preserve">11337</w:t>
            </w:r>
          </w:p>
        </w:tc>
        <w:tc>
          <w:tcPr>
            <w:tcW w:w="2400" w:type="dxa"/>
          </w:tcPr>
          <w:p>
            <w:pPr>
              <w:jc w:val="center"/>
            </w:pPr>
            <w:r>
              <w:rPr/>
              <w:t xml:space="preserve">16007</w:t>
            </w:r>
          </w:p>
        </w:tc>
        <w:tc>
          <w:tcPr>
            <w:tcW w:w="1400" w:type="dxa"/>
          </w:tcPr>
          <w:p>
            <w:pPr>
              <w:jc w:val="center"/>
            </w:pPr>
            <w:r>
              <w:rPr/>
              <w:t xml:space="preserve">27344</w:t>
            </w:r>
          </w:p>
        </w:tc>
      </w:tr>
      <w:tr>
        <w:trPr/>
        <w:tc>
          <w:tcPr>
            <w:tcW w:w="1800" w:type="dxa"/>
            <w:shd w:val="clear" w:color="" w:fill="A6A6A6"/>
          </w:tcPr>
          <w:p>
            <w:pPr/>
            <w:r>
              <w:rPr>
                <w:rStyle w:val="fFooterTable"/>
              </w:rPr>
              <w:t xml:space="preserve">Total</w:t>
            </w:r>
          </w:p>
        </w:tc>
        <w:tc>
          <w:tcPr>
            <w:tcW w:w="25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34622</w:t>
            </w:r>
          </w:p>
        </w:tc>
        <w:tc>
          <w:tcPr>
            <w:tcW w:w="24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33401</w:t>
            </w:r>
          </w:p>
        </w:tc>
        <w:tc>
          <w:tcPr>
            <w:tcW w:w="14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68023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Total FOI Requests Completed by Source and Jurisdiction</w:t>
      </w:r>
    </w:p>
    <w:p>
      <w:pPr/>
      <w:r>
        <w:rPr/>
        <w:t xml:space="preserve"/>
      </w:r>
    </w:p>
    <w:tbl>
      <w:tblGrid>
        <w:gridCol w:w="3200" w:type="dxa"/>
        <w:gridCol w:w="1600" w:type="dxa"/>
        <w:gridCol w:w="1600" w:type="dxa"/>
        <w:gridCol w:w="16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2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Source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Municipal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Provincial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Individual/Public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27005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7372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34377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Individual by Agent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7655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7236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14891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Business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3101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10631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13732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Academic/Researcher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97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228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325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Association/Group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253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423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676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Media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382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1092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1474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Government (all levels)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1094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149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1243</w:t>
            </w:r>
          </w:p>
        </w:tc>
      </w:tr>
      <w:tr>
        <w:trPr/>
        <w:tc>
          <w:tcPr>
            <w:tcW w:w="3200" w:type="dxa"/>
          </w:tcPr>
          <w:p>
            <w:pPr/>
            <w:r>
              <w:rPr/>
              <w:t xml:space="preserve">Other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1068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213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1281</w:t>
            </w:r>
          </w:p>
        </w:tc>
      </w:tr>
      <w:tr>
        <w:trPr/>
        <w:tc>
          <w:tcPr>
            <w:tcW w:w="3200" w:type="dxa"/>
            <w:shd w:val="clear" w:color="" w:fill="A6A6A6"/>
          </w:tcPr>
          <w:p>
            <w:pPr/>
            <w:r>
              <w:rPr>
                <w:rStyle w:val="fFooterTable"/>
              </w:rPr>
              <w:t xml:space="preserve">Total Requests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40655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27344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67999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Outcome of Requests by Jurisdiction</w:t>
      </w:r>
    </w:p>
    <w:p>
      <w:pPr/>
      <w:r>
        <w:rPr/>
        <w:t xml:space="preserve"/>
      </w:r>
    </w:p>
    <w:tbl>
      <w:tblGrid>
        <w:gridCol w:w="4000" w:type="dxa"/>
        <w:gridCol w:w="1600" w:type="dxa"/>
        <w:gridCol w:w="1600" w:type="dxa"/>
        <w:gridCol w:w="16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4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Source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Municipal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Provincial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All Information Disclosed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8409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6231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14640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Information Disclosed in Part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20970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9769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30739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No Information Disclosed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5669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2663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8332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No Responsive Records Exist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3355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6278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9633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Request Withdrawn, Abandoned or Non-Jurisdictional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2407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2463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4870</w:t>
            </w:r>
          </w:p>
        </w:tc>
      </w:tr>
      <w:tr>
        <w:trPr/>
        <w:tc>
          <w:tcPr>
            <w:tcW w:w="4000" w:type="dxa"/>
            <w:shd w:val="clear" w:color="" w:fill="A6A6A6"/>
          </w:tcPr>
          <w:p>
            <w:pPr/>
            <w:r>
              <w:rPr>
                <w:rStyle w:val="fFooterTable"/>
              </w:rPr>
              <w:t xml:space="preserve">Total Requests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40810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27404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68214</w:t>
            </w:r>
          </w:p>
        </w:tc>
      </w:tr>
    </w:tbl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Total Fees Collected and Waived by Jurisdiction</w:t>
      </w:r>
    </w:p>
    <w:p>
      <w:pPr/>
      <w:r>
        <w:rPr/>
        <w:t xml:space="preserve"/>
      </w:r>
    </w:p>
    <w:tbl>
      <w:tblGrid>
        <w:gridCol w:w="4000" w:type="dxa"/>
        <w:gridCol w:w="1600" w:type="dxa"/>
        <w:gridCol w:w="1600" w:type="dxa"/>
        <w:gridCol w:w="16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4000" w:type="dxa"/>
          </w:tcPr>
          <w:p>
            <w:pPr/>
            <w:r>
              <w:rPr/>
              <w:t xml:space="preserve"/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Municipal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Provincial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Total Application Fees Collected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$195234.2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$130723.25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$325957.45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Total Additional Fees Collected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$349154.93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$242038.23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$591193.16</w:t>
            </w:r>
          </w:p>
        </w:tc>
      </w:tr>
      <w:tr>
        <w:trPr/>
        <w:tc>
          <w:tcPr>
            <w:tcW w:w="4000" w:type="dxa"/>
            <w:shd w:val="clear" w:color="" w:fill="A6A6A6"/>
          </w:tcPr>
          <w:p>
            <w:pPr/>
            <w:r>
              <w:rPr/>
              <w:t xml:space="preserve">Total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$544389.13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$372761.48</w:t>
            </w:r>
          </w:p>
        </w:tc>
        <w:tc>
          <w:tcPr>
            <w:tcW w:w="1600" w:type="dxa"/>
            <w:shd w:val="clear" w:color="" w:fill="A6A6A6"/>
          </w:tcPr>
          <w:p>
            <w:pPr>
              <w:jc w:val="center"/>
            </w:pPr>
            <w:r>
              <w:rPr>
                <w:rStyle w:val="fFooterTable"/>
              </w:rPr>
              <w:t xml:space="preserve">$917150.61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Total Fees Waived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$81372.13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$27039.8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$108411.93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Average Cost of Municipal Requests</w:t>
      </w:r>
    </w:p>
    <w:p>
      <w:pPr/>
      <w:r>
        <w:rPr/>
        <w:t xml:space="preserve"/>
      </w:r>
    </w:p>
    <w:tbl>
      <w:tblGrid>
        <w:gridCol w:w="4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4000" w:type="dxa"/>
          </w:tcPr>
          <w:p>
            <w:pPr/>
            <w:r>
              <w:rPr/>
              <w:t xml:space="preserve"/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2020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2021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2022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2023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2024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Personal Information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$8.66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$7.62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$6.92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$6.38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$6.84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General Records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$23.61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$24.86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$24.20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$21.97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$22.14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Average Cost of Provincial Requests</w:t>
      </w:r>
    </w:p>
    <w:p>
      <w:pPr/>
      <w:r>
        <w:rPr/>
        <w:t xml:space="preserve"/>
      </w:r>
    </w:p>
    <w:tbl>
      <w:tblGrid>
        <w:gridCol w:w="4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4000" w:type="dxa"/>
          </w:tcPr>
          <w:p>
            <w:pPr/>
            <w:r>
              <w:rPr/>
              <w:t xml:space="preserve"/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2020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2021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2022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2023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2024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Personal Information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$7.90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$6.37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$5.02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$5.08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$5.03</w:t>
            </w:r>
          </w:p>
        </w:tc>
      </w:tr>
      <w:tr>
        <w:trPr/>
        <w:tc>
          <w:tcPr>
            <w:tcW w:w="4000" w:type="dxa"/>
          </w:tcPr>
          <w:p>
            <w:pPr/>
            <w:r>
              <w:rPr/>
              <w:t xml:space="preserve">General Records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$59.73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$36.28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$13.18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$18.88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$19.73</w:t>
            </w:r>
          </w:p>
        </w:tc>
      </w:tr>
    </w:tbl>
    <w:p>
      <w:r>
        <w:br w:type="page"/>
      </w:r>
    </w:p>
    <w:p>
      <w:pPr/>
      <w:r>
        <w:rPr/>
        <w:t xml:space="preserve"/>
      </w:r>
    </w:p>
    <w:p>
      <w:pPr/>
      <w:r>
        <w:rPr>
          <w:rStyle w:val="fHeaderSection"/>
        </w:rPr>
        <w:t xml:space="preserve">Provincial Compliance</w:t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Overall Provincial Compliance:</w:t>
      </w:r>
    </w:p>
    <w:p>
      <w:pPr/>
      <w:r>
        <w:rPr/>
        <w:t xml:space="preserve"/>
      </w:r>
    </w:p>
    <w:p>
      <w:r>
        <w:rPr/>
        <w:t xml:space="preserve">30-day:		</w:t>
      </w:r>
      <w:r>
        <w:rPr/>
        <w:t xml:space="preserve">78.2%</w:t>
      </w:r>
    </w:p>
    <w:p>
      <w:r>
        <w:rPr/>
        <w:t xml:space="preserve">Extended:	</w:t>
      </w:r>
      <w:r>
        <w:rPr/>
        <w:t xml:space="preserve">87.4%</w:t>
      </w:r>
    </w:p>
    <w:p>
      <w:r>
        <w:rPr/>
        <w:t xml:space="preserve">Over 90 days:	</w:t>
      </w:r>
      <w:r>
        <w:rPr/>
        <w:t xml:space="preserve">7.5%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Top 10 Provincial Institutions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the Environment, Conservation and Parks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8333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9093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6955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76.5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84.5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1013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the Solicitor General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8489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7384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5625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76.2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85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445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Children, Community and Social Services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4333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4303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3753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87.2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89.6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1.6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Transportation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1060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873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778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89.1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95.6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2.5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Labour, Immigration, Training and Skills Development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846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808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605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74.9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79.6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6.9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Public and Business Service Delivery and Procurement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596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568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499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87.9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96.7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3.5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Workplace Safety and Insurance Board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459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455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422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92.7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1.5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the Attorney General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416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323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287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97.8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4.3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Ministry of Municipal Affairs and Housing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39.8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78.6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120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45.1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The Cabinet Office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170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159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58.5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93.7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11.9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(Provincial Institutions except Colleges, Universities and Hospitals)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the Environment, Conservation and Parks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9093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6955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76.5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the Solicitor General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8489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7384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5625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76.2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445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Children, Community and Social Services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4303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3753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Transportation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1060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Labour, Immigration, Training and Skills Development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Public and Business Service Delivery and Procurement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568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Workplace Safety and Insurance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the Attorney General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Municipal Affairs and Housing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Cabinet Office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Natural Resources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LCBO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Colleges, Universities, Research Excellence and Security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Finance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Education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Alcohol and Gaming Commission of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Metrolinx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Financial Services Regulatory Authority of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Pay Equity Office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Energy and Electrification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Lottery and Gaming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Infrastructure Ontario (IO)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Long-Term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Ministry of Agriculture, Food and Agribusiness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63.4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Treasury Board Secretariat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Parole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Independent Electricity System Operator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Niagara Parks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Securities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Legal Aid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Mines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Economic Development, Job Creation and Trade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Indigenous Affairs and First Nations Economic Reconciliation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Infrastructure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56.5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Power Generation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Special Investigation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Human Rights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 Tourism, Culture and Gaming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Seniors and Accessibility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Office of the Independent Police Review Director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Landlord and Tenant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Science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Citizenship and Multiculturalism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Intergovernmental Affairs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Escarpment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Supply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iGaming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Sport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Ministère des Affaires francophones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Northern Development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ORNGE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Clean Water Agency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Patient Ombudsman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Lawrence Parks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Licence Appeal Tribunal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Health Professions Appeal and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Human Rights Tribunal of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Energy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Social Benefits Tribunal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Workplace Safety and Insurance Appeals Tribunal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Agricorp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Invest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Agency for Health Protection and Promotion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Arts Council | Conseil des arts de l'Ontario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catholique du district des Grandes Rivieres (CSCDGR)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Education Quality and Accountability Office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Health Services Appeal and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Human Rights Legal Support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Ministry of Red Tape Reduction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Simcoe Muskoka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Cannabis Retail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Civilian Police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Health atHome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Northland Transportation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Trillium Foundation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Algoma Residential Community Hospice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Algonquin Forestry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Animal Care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Assessment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Big Game Management Advisory Committee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Brockville Public Library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Building Code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Building Materials Evaluation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Central East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Central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Child and Family Services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Committee on the Status of Species at Risk in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Consent and Capacity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Crown Employees Grievance Settlement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Custody Review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Destination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Financial Services Tribunal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Fire Safety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Fish and Wildlife Heritage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Greenbelt Council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Haliburton Highlands Health Services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Higher Education Quality Council of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- Erie St. Clair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- Hamilton Niagara Haldimand Brant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Central West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Champlain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Mississauga Halton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South West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Home and Community Care Support Services Waterloo Wellington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McMichael Canadian Art Collection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Nawiinginokiima Forest Management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East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West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Office of the Employer Adviser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Office of the Fairness Commissioner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Creates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Electricity Financial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Financing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Food Terminal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Geographic Names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Heritage Trust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Honours Advisory Council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Labour Relations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Land Tribunals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Parks Board of Directors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Special Education Tribunal (English)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Special Education Tribunal (French)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Pay Equity Hearings Tribunal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Public Service Grievance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Rabies Advisory Committee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Rideauwood Addiction and Family Services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Science North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Skilled Trades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East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Species at Risk Program Advisory Committee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Continuing Care Centre (LTCH)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Villa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Mary's Home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Superior East Community Futures Development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Order of Ontario Advisory Council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Central Local Health Integration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 St Gabriel Villa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Walkerton Clean Water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Équipe de Santé Psychologique d’Orléans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26846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25933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20246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78.1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86.9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1998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7.7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(Hospitals)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Health Sciences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Kingston Health Sciences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University Health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Hamilton Health Sciences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William Osler Health System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Trillium Health Partners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Brant Community Healthcare System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Chatham-Kent Health Alliance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Ottawa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64.3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Children's Hospital of Eastern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Lakeridge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Royal Victoria Regional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Hospital for Sick Children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Unity Health Toronto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Waypoint Centre for Mental Health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72.7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Centre for Addiction and Mental Health (CAMH)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Healthcare Services Corp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Regional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Southlake Regional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Windsor Regional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 River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Humber River Hospital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York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Scarborough Health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Michael Garron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Muskoka Algonquin Healthcare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Norfolk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Bay Regional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Oak Valley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Queensway Carleton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Quinte Health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Royal Ottawa Health Care Group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Healthcare Hamilton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Bruyere Continuing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Groves Memorial Community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Hôpital Montfort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 of the Woods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Timmins &amp;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Brightshores Health System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Mackenzie Health - All sites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Northumberland Hills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Thunder Bay Regional Health Sciences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Winchester District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Brockville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Clinton Public Hospital Site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Cornwall Community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Erie Shores HealthCare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Four Counties Health Services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Georgian Bay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Hopital General de Hawkesbury &amp; District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Joseph Brant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Kemptville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Lady Minto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Lennox &amp; Addington County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Orillia Soldiers'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Seaforth Community Hospital Site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Sinai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Sioux Lookout Meno Ya Win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Health Care London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Mary's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Mary's Memorial Hospital Site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Stratford General Hospital Site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Tillsonburg District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Women's College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Almonte General Hospital / Fairview Manor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Baycrest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Cambridge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Casey House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Collingwood General and Marine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Deep River and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Dryden Regional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Geraldton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Headwaters Health Care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Health Sciences North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Holland Bloorview Kids Rehabilitation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Hôpital Notre-Dame Hospital Hearst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Hôtel Dieu Grace Healthcare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Nipigon District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Shore Health Network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of Superior Healthcare Group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Pembroke Regional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Providence Care -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Victoria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Riverside Health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Area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General Hospital Elliot Lake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Health Centre Guelph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Stevenson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Temiskaming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Weeneebayko Area Health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Parry Sound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Alexandra Marine and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Anson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Atikokan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Bingham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Campbellford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Carleton Place and District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EHN Bellwood Toronto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Englehart and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Haldimand War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Hanover &amp;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Hopital Glengarry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Hopital Smooth Rock Falls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Hopital de Mattawa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Hornepayne Community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Hôtel-Dieu Shaver Health and Rehabilitation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Kirkland and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Lady Dunn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Listowel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Manitoulin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Middlesex Hospital Alliance Strathroy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Wellington Health Care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Ontario Shores Centre for Mental Health Sciences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Red Lake Margaret Cochenour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Ross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Sante Manitouwadge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Sensenbrenner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Services de santé de Chapleau Health Services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Shouldice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Bruce Grey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Huron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Francis Memorial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Care Group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Continuing Care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Joseph's Continuing Care Centre of Sudbury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Thomas Elgin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Sunnybrook Health Sciences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Grace Health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Ottawa Heart Institute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Haldimand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Nipissing General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Wingham and District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Woodstock Hospital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552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524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442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84.4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96.4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15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2.9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(Colleges and Universities)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Fanshawe College of Applied Arts and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Toronto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Ottawa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York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Queen's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McMaster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Carleton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Canadore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Waterloo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Western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Laurentian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Humber College Institute of Technology and Advanced Learning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Loyalist College of Applied Arts and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Metropolitan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Algonquin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Seneca Polytechnic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Wilfrid Laurier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Guelph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Georgian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Confederation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64.3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64.3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Northern Ontario School of Medicine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Brock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Conestoga College Institute of Technology and Advanced Learning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George Brown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72.7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Windsor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Durham College of Applied Arts and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Algoma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Sheridan College Institute of Technology and Advanced Learning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Centennial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Collège La Cité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Mohawk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Trent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Lambton College of Applied Arts &amp;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Université de l'Ontario français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Lakehead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Lawrence College of Applied Arts and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Cambrian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College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OCAD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Nipissing University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University of Ontario Institute of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College Boreal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Clair College of Applied Arts &amp; Technology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948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887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688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77.6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95.5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41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4.6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27(1) and Notice to Affected Persons, section 28(1).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HeaderSection"/>
        </w:rPr>
        <w:t xml:space="preserve">Municipal Compliance</w:t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Overall Municipal Compliance:</w:t>
      </w:r>
    </w:p>
    <w:p>
      <w:pPr/>
      <w:r>
        <w:rPr/>
        <w:t xml:space="preserve"/>
      </w:r>
    </w:p>
    <w:p>
      <w:r>
        <w:rPr/>
        <w:t xml:space="preserve">30-day:		</w:t>
      </w:r>
      <w:r>
        <w:rPr/>
        <w:t xml:space="preserve">82.2%</w:t>
      </w:r>
    </w:p>
    <w:p>
      <w:r>
        <w:rPr/>
        <w:t xml:space="preserve">Extended:	</w:t>
      </w:r>
      <w:r>
        <w:rPr/>
        <w:t xml:space="preserve">87%</w:t>
      </w:r>
    </w:p>
    <w:p>
      <w:r>
        <w:rPr/>
        <w:t xml:space="preserve">Over 90 days:	</w:t>
      </w:r>
      <w:r>
        <w:rPr/>
        <w:t xml:space="preserve">1.8%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Top 30 Municipal Institutions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Toronto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5414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5056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3987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78.9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79.3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5.2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Toronto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3281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3106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1637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52.7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61.2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York Regional Police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2394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2510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856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34.1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34.3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Halton Regional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2045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2089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1843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0.8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Durham Regional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1913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1925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1831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95.1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Hamilton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1630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1590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1533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96.4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Niagara Regional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1427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1428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1318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92.3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1.5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Waterloo Regional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1429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1419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1399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Peel Regional Police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London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1222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1242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1194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96.1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Ottawa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1243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1162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81.4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2.3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Mississauga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1145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1127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90.5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0.8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Windsor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936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936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769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82.2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0.3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Ottawa Community Housing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583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576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552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95.8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97.4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0.7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Guelph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476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461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437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95.9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St. Clair Catholic District School Board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Region of Peel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389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355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334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0.6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Brantford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334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327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294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89.9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91.4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0.3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Chatham-Kent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308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District School Board of Niagara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304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309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291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Corporation City of London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293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92.5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Bradford West Gwillimbury / Innisfil Police Services Board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279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91.8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Toronto Transit Commission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315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274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89.8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97.8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Thunder Bay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265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York Region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333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263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248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94.3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Sarnia Police Service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195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74.4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99.6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Brampton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271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256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92.2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97.3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Oshawa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241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248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96.4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Regional Municipality of Durham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242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245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206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84.1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94.7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2.9</w:t>
            </w:r>
          </w:p>
        </w:tc>
      </w:tr>
      <w:tr>
        <w:trPr/>
        <w:tc>
          <w:tcPr>
            <w:tcW w:w="3400" w:type="dxa"/>
            <w:vAlign w:val="center"/>
          </w:tcPr>
          <w:p>
            <w:pPr/>
            <w:r>
              <w:rPr>
                <w:rStyle w:val="fSmallBodyTable"/>
              </w:rPr>
              <w:t xml:space="preserve">City of Windsor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234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240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188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78.3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81.3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BodyTable"/>
              </w:rPr>
              <w:t xml:space="preserve">3.8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(School Boards)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Clair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School Board of Niagara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Thames Valley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Dufferin-Peel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Peel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Ottawa-Carleton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des écoles publiques de l'Est de l'Ontario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Greater Essex County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York Region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Bluewater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Waterloo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Durham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Waterloo Region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School Board Ontario North East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Hamilton Wentworth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Simcoe Muskoka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des écoles catholiques du Centre-Est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du Grand Nord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Lakehead District School Board (Lakehead Public Schools)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Simcoe County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Northwest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Limestone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Upper Canada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Upper Grand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Algoma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Brant Haldimand Norfolk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Kawartha Pine Ridge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Ottawa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Trillium Lakelands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 Erie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Victoria Northumberland and Clarington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Avon Maitland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Durham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Huron-Perth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District Catholic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Rainbow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Algonquin and Lakeshore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catholique MonAvenir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de district catholique du Nouvel-Ontario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Lambton Kent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Rainy River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Superior North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Catholic District School Board of Eastern Ontario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Viamonde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de district catholique de l'Est ontarien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Nipissing-Parry Sound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Sudbury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Thunder Bay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Bloorview School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Bruce-Grey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de district catholique Franco-Nord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de district catholique des Aurores boreales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Grandview School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Huron - Superior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James Bay Lowlands Secondary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John McGivney Children's School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Keewatin-Patricia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Kenora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Moose Factory Island District School Area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Moosonee District School Area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Near North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Children's Centre School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Northeastern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County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County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Superior-Greenstone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Protestant Separate School Board of the Town of Penetanguishene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Windsor-Essex Catholic District School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1448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1333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1168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87.6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94.8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34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2.6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(Health Boards)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Windsor-Essex County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Huron Perth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Bay Parry Sound District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Grey Bruce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Dufferin Guelph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Kingston, Frontenac ,Lennox and Addington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Algoma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Leeds, Grenville &amp; Lanark District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Public Health Sudbury &amp; Districts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Brant County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Hastings Prince Edward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Chatham-Kent Board of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Middlesex-London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County and District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Haliburton, Kawartha, Pine Ridge District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Eastern Ontario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Haldimand-Norfolk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Northwestern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Timiskaming Health Unit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137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132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125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94.7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98.5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0.8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(Police)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5056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3987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York Regional Police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2394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Regional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2045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2089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1843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Durham Regional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1831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Hamilton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1590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1533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Regional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Waterloo Regional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1399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Peel Regional Police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1242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1194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Windsor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769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Guelph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Brantford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Chatham-Kent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Bradford West Gwillimbury / Innisfil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Thunder Bay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Sarnia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Woodstock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Strathroy-Caradoc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Greater Sudbury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Cornwall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Stratford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Kingston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Bay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Timmins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Port Hope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Smiths Falls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Saugeen Shores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Ste. Marie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Belleville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Hanover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Grey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Gananoque Police Services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Aylmer Police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Deep River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Atikokan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Brant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East Zorra-Tavistock Township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Elgin Group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Goderich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 Valley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Grey Highlands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Haldimand County O.P.P. Detachment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Hawkesbury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Hearst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Kapuskasing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Leamington Police Service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Kawartha Police Service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Perth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Orangeville OPP Detachment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Orillia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Petawawa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Spanish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Tecumseh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Blue Mountains OPP Detachment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Town of Kingsville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South Bruce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Melancthon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County Police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22993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22746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18977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83.4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86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358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1.6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(Municipal Corporations)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Toronto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3281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3106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1637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Ottawa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1243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1162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Mississauga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1145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Region of Peel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City of London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York Region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Brampton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Oshawa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Regional Municipality of Durham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Windsor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Markham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Peterborough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Vaughan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Oakville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Waterloo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Greater Sudbury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Burlington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Brantford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Barrie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Richmond Hill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Chatham-Kent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St. Catharines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Norfolk County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Guelph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Georgina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Regional Municipality of Waterloo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Sarnia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Hamilton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Caledon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North Bay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Clarence-Rockland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Sault Ste. Marie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East Gwillimbury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Innisfil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Whitby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Niagara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Cambridge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County of Brant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Cornwall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Centre Wellington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Welland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72.8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Owen Sound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King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Kingston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Milton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County of Grey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Pickering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Owen Sound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Kawartha Lakes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79.6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Simcoe - General Government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Newmarket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County of Lambton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Russell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Lakeshore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Regional Municipality of Halton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Ajax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Grimsby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Blind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Thorold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Seguin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Aurora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Stratford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56.1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Haldimand County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Ingersoll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Clarington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Wasaga Beach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LaSalle Police Service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Pelham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Quinte West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Township of North Dumfries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Timmins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Leeds and the Thousand Islands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Thunder Bay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County of Prince Edward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51.6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Cobourg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67.7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Oro-Medonte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Port Hope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Douro-Dummer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Leamington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Hawkesbury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Dufferin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Brighton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Bradford West Gwillimbury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Minden Hills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Val Rita-Harty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Centre Hastings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Brockville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Niagara-on-the-Lake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Halton Hills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Muskoka Lakes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St. Marys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 Property Assessment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Frontenac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County of Wellington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Smiths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Whitchurch-Stouffville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Puslinch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Uxbridge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Kingsville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63.6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Amherstburg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Scugog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63.6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Tweed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Gravenhurst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Oxford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Collingwood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Huntsville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Orangeville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Midland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Tiny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Wollaston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Bonfield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Port Colborne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17.6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Perth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Bayham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Thames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Fort Erie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Middlesex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North Middlesex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Northumberland County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District Municipality of Muskoka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New Tecumseth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Bluewater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Saugeen Shores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35.7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The Blue Mountains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Meaford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84.6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Brock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Bracebridge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53.8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92.3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Clearview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Lincoln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61.5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69.2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Springwater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76.9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Tay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Middlesex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County of Essex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Carleton Place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LaSalle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South Bruce Peninsula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Tecumseh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41.7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Tillsonburg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Stone Mills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91.7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St. Thomas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City of Orillia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63.6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City of Kenora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Arnprior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36.4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72.7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Erin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9.1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Greater Napanee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Kapuskasing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Wilmot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45.5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18.2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United Counties of Leeds and Grenville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54.5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United Counties of Prescott and Russell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81.8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Perth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Lanark county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Grey Highlands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Municipality of Strathroy-Caradoc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Town of Plympton-Wyoming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Georgian Bluffs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Whitewater Region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Woolwich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Callander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Nation Municipality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Alnwick/Haldimand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22.2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Beckwith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North Shore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Severn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Renfrew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Loyalist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Stirling-Rawdon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62.5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Essex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Georgian Bay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Lake of Bays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57.1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71.4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Huron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Lambton Shores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Township of Ramara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57.1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Mattawa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Parry Sound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85.7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Havelock-Belmont-Methuen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Southgate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French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Hastings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Heather Scott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Hastings Highlands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St.-Charles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Lanark Highlands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Bancroft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Adjala-Tosorontio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Alfred and Plantagenet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Hamilton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Madawaska Valley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North Stormont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Wellesley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West Lincoln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Temiskaming Shores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Renfrew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Lennox &amp; Addington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Dysart et 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Marmora and Lake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Trent Hills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Whitestone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Tay Valley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Kincardine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Guelph/Eramosa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Rideau Lakes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Petawawa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Greater Madawaska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Tyendinaga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Wainfleet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Iroquois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Kirkland Lake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Wellington North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Municipalite - East Ferris - Municipality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North Grenville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Southwest Middlesex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Town of Minto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Brockton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Petrolia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Carlow/Mayo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North Frontenac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Municipality of Huron Shores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Cochrane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Asphodel-Norwood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Essa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South Glengarry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South Stormont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Amaranth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Northern Bruce Peninsula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South Huron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Trent Lakes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Greenstone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Champlain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133.3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Hanover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Mono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Assiginack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Emo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Hornepayne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McKellar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McMurrich/Monteith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North Glengarry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Perth South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St. Clair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City of Dryden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Algonquin Highlands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East Garafraxa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Frontenac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Central Huron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McDougall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Mississippi Mills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West Grey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the United Townships of Head, Clara and Maria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Municipalité de Casselman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Shuniah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 of Goderich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Shelburne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Smooth Rock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Admaston/Bromley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Ashfield-Colborne-Wawanosh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Augusta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Cavan Monaghan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Central Frontenac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Elizabethtown-Kitley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Enniskillen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Faraday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Huron-Kinloss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Killaloe, Hagarty and Richards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Perth East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Red Rock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Selwyn (formerly Smith-Ennismore-Lakefield)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Village of South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Aylmer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Calvin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Grand Valley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Chapleau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Ear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Sables-Spanish Rivers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Bruce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Elgin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InnServices Utilities Inc. - Innpower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Central Elgin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South Bruce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Dutton/Dunwich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West Perth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Township of St. Joseph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Deep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Gananoque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Hearst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Kearney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Prescott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Adelaide Metcalfe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Chatsworth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Drummond-North Elmsley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Edwardsburgh/Cardinal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Laird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Lucan Biddulph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Machar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Mattice-Val Cote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Mulmur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Nipissing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North Huron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North Kawartha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Papineau-Cameron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Strong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Terrace Bay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The Archipelago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United Counties of Stormont, Dundas and Glengarry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Village of Newbury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Village of Sundridge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County Museum and Archives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Bonnechere Valley Twp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 of Sault Ste Marie, Economic Development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Municipality of Markstay-Warren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 of Rainy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Alberton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Brethour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Fauquier-Strickland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Harris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Hilliard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Howick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Johnson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Corporation of the Township of Limerick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Haliburton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Peterborough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InnServices Utilities Inc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Brooke-Alvinston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Huron East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Magnetawan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Morris-Turnberry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Oliver Paipoonge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Wawa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Algona Wilberforce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Pioneer Manor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Prince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Tarbutt Township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Arran-Elderslie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Charlton and Dack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Killarney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Municipality of Red Lake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Conmee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Dubreuilville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Matachewan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Morley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O'Connor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South-West Oxford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Village of Oil Springs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District Municipality of Muskoka (Health Link)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Atikokan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Bruce Mines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Cobalt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Deseronto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Gore Bay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Latchford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Marathon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 of Spanish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Addington Highlands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Armour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Armstrong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Athens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Baldwin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Blandford-Blenheim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Brudenell,Lyndoch and Raglan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Chamberlain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Chapple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Chisholm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Cockburn Island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Dawson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Dorion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East Hawkesbury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East Zorra-Tavistock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Evanturel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Front of Yonge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Gauthier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Gillies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Hilton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Horton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La Vallee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Lake of the Woods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Malahide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Mapleton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McGarry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Mcnab/Braeside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Melancthon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Pelee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Plummer Additional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Ryerson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Schreiber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Sioux Narrows-Nestor Falls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Southwold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Tehkummah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Warwick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White River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Village of Merrickville-Wolford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Village of Westport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15872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15048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11851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78.8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86.7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321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2.1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Response Rate Compliance (Municipal Other)</w:t>
      </w:r>
    </w:p>
    <w:p>
      <w:pPr/>
      <w:r>
        <w:rPr/>
        <w:t xml:space="preserve"/>
      </w:r>
    </w:p>
    <w:tbl>
      <w:tblGrid>
        <w:gridCol w:w="3400" w:type="dxa"/>
        <w:gridCol w:w="950" w:type="dxa"/>
        <w:gridCol w:w="980" w:type="dxa"/>
        <w:gridCol w:w="950" w:type="dxa"/>
        <w:gridCol w:w="700" w:type="dxa"/>
        <w:gridCol w:w="1200" w:type="dxa"/>
        <w:gridCol w:w="9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400" w:type="dxa"/>
          </w:tcPr>
          <w:p>
            <w:pPr/>
            <w:r>
              <w:rPr/>
              <w:t xml:space="preserve"/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Received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Requests Completed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Within 30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Extended Compliance%*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Over 90 Days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Style w:val="fSmallHeaderTable"/>
              </w:rPr>
              <w:t xml:space="preserve">%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Ottawa Community Housing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583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576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552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95.8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97.4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0.7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Transit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315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274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89.8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97.8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Community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153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98.6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of Sault Ste. Marie Social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97.2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of Nipissing Social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and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82.8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of Parry Sound Social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District of Thunder Bay Social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19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90.5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4.8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 Simcoe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68.8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Central Lake Ontario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38.5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Nottawasaga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Hydro Ottawa Limited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Cochrane District Social Services Administration Board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CityHousing Hamilton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88.9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Conservation Halton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87.5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Parking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42.9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57.1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14.3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Algoma District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Durham Region Transit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 River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Hydro-Electric System Limited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9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66.7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Transit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CreateTO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25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of Rainy River Services Board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Grey Sauble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Hamilton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&amp; Middlesex Community Housing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Peninsula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6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75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Otonabee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Ottawa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Clair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Alectra Utilities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Cataraqui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33.3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Ste. Marie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Credit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Enwin Utilities Ltd. (includes Windsor Utilities Commission)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Essex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Fort Erie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Community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Hamilton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4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Kenora District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Lower Trent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Manitoulin-Sudbury District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Rideau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Saugeen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Nation River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3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50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Welland Hydro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Ausable Bayfield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Caledon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Centre Wellington Hydro Ltd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Chatham-Kent Public Utilities Commission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Conseil scolaire catholique du district des Grandes Rivieres (CSCDGR)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Crowe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District of Timiskaming Social Services Administration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2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Ganaraska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GrandBridge Energy Inc.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Greater Sudbury Hydro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Kawartha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Kingston and Frontenac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Minaki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Mississippi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NT Holdings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Raisin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Synergy North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Blue Mountains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Hydro Energy Services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Seniors Housing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100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Addington Highlands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Ajax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Alfred &amp; Plantagenet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Anima Nipissing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Armstrong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Arnprior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Asphodel-Norwood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Atikokan Economic Development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Atikokan Hydro Inc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Atikokan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Aurora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Barrie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Belleville Public Library and John M. Parrott Art Gallery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Bibliotheque de la municipalite de la Nation / The Nation Municipality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Billings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Black River-Matheson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Blind River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Bluewater Power Distribution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Board of Governors of Exhibition Place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Bonfield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Bonnechere Union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Brampton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Brantford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Brighton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Britt-Byng Inlet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Britton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Brock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Bruce County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Build Ottawa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Burk's Falls, Armour &amp; Ryerson Union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Burlington Hydro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Burlington Public Library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Callander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Cambridge Public Library (formerly Idea Exchange)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Cane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Carleton Place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Carlow/Mayo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Cartier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Catfish Creek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Cavan Monaghan Libraries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Champlain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Chapleau Public Utilities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Chatham-Kent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Chiniguchi River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Clarence-Rockland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Clarington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Clearview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Cobourg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Cochrane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Collingwood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Community Development Corporation of Sault Ste. Marie &amp; Area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County of Brant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Crystal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Dawson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Dawson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Dawson Road Goldie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Deep River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Departure Lake LRB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Devil's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Devon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Downes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Dryden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Dunning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E.L.K. Energy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ERTH POWER CORPORATION (formerly Erie Thames Powerlines)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Ear Falls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East Ferris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East Gwillimbury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Edwardsburgh Cardinal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Elexicon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Elexicon Energy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Elexicon Group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Emo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Englehart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Enova Power Corp.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Espanola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Essa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Essex Power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Forbes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Fort Frances Public Library Technology Centre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Foster-Truman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French River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Front of Yonge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Galbraith-Morin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Georgina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Gore Bay Union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Grand Valley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Gravenhurst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Greater Madawaska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Greater Sudbury Utilities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Greenstone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Grimsby Power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Guelph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Haldimand County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Haldimand-Norfolk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Haliburton County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Hallebourg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Halton Hills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Hanover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Hastings Highlands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Hawk Junction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Hawkesbury Hydro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Hearst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Hearst Power Distribution Company Ltd.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Hearst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Henwood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Hornepayne Public Library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Horseshoe Bay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Huntsville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Hurkett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Huron County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Huron Shores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Ignace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Ingram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InnPower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Innisfil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Iroquois Falls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Jacques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James Township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Jo-Anne Fischer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Kabaigon Bay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Kapuskasing &amp; District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Kapuskasing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Kearney and Area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Killaloe and District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Kingsford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Kingston Frontenac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Kitchener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Kitigan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Laclu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 of Bays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Lakehead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Lakeland Power Distribution Ltd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Lanark Highlands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Lappe &amp; Area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Larder Lake Public Libary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Laurentian Hills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Lennox and Addington County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Lennox and Addington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Lincoln Pelham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 Board of Maisonville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Cartier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East Gorham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Kaministiquia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Melgund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Nolalu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Rainbow Country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Redbridge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Redditt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Local Services Board of Rossport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Hydro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London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Lost Channel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Lount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Madawaska Valley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Madoc Public Library (Centre Hastings Public Library Board)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Maitland Valley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Manitoulin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Manitouwadge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Marion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Markham Public Libary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Markstay Warren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Marmora and Lake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Mattagami Region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McConnell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McKenzie Portage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Merrickville-Wolford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Mid-Huron Landfill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Middlesex County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Mills and Hardy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Milton Hydro Distribution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Ministic Lake Road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Mississauga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Mississippi Mills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Municipality of Mattawan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Munro Point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Muskoka Lakes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Nelles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New Tecumseth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Newmarket-Tay Power Distribution Ltd.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 Falls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Niagara-on-the-Lake Hydro Inc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Niagara-on-the-Lake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Nickel District Conservation Authority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Nickel Lake Shores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Nipigon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Bay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Grenville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Hastings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Kawartha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 Perth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Northeastern Manitoulin &amp; the Islands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Oakville Hydro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Oakville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Orangeville Hydro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Oshawa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Otonabee-South Monaghan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Ottawa River Energy Solutions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Owen Sound &amp; North Grey Union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Oxford County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PUC Services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Parry Sound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Patton &amp; Montgomery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Pelee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Pellatt #2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Pembroke Public Library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Pembroke Upper Ottawa valley OPP Detachment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Penetanguishene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Petawawa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Peterborough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Pickering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Polly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Port Hope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Port Loring and District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Powassan &amp; District Union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Ramara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Red Deer Village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Red Lake Public Libraries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Red Rock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Reef Point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Hydro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Renfrew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Restoule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Rideau Lakes 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Robinson Township Local Roads Boards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Rossmere Bay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Round Lake &amp; Area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Rugby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Sables-Spanish Rivers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Ste. Marie Economic Development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Ste. Marie North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1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Sault Ste. Marie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Savard and Area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Schreiber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Scugog Memorial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Secord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Selwyn Public Library (formerly Smith-Ennismore-Lakefield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Severn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Shebandowan Local Services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Shebandowan Village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Shelburne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Sioux Lookout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Smiths Falls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 Watten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Southeast Parry Sound District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Southgate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Southwestern Public Health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Southworth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Spanish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Spohn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Springwater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Catharines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 Island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Joseph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Mary's Home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St. Thomas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Stirling-Rawdon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Storm Bay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Stratford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Sultan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Sundridge/Strong Union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Sunset Lake Road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Teck Centennial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Tehkummah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Temiskaming Shores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Terrace Bay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Archipelago Area Planning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Blue Mountains Attainable Housing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Centre In The Square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City of Kawartha Lakes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Corporation of the Township of Ignace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County of Prince Edward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Gananoque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 Local Services Board of Hawk Junction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Thessalon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Thorne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Thorold Public Library 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Thunder Bay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Tilden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Tilley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Timmins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Toronto Hydro Corporation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Athens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Cramahe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Georgian Bay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Havelock-Belmont-Methuen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Pringle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Russell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South Algonquin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Uxbridge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Township of Whitewater Region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Trent Hills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Trout Lake North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Val Rita-Harty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Van Horne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Vaughan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Vixen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Wabigoon Redvers West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Wabigoon South East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Wainfleet Township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Wallbridge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War Eagle Lake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Ware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Waterloo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Welland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County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Wellington North Power Inc.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Grey Library System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Lincoln Township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Nipissing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 Perth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Westport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Wharncliffe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Whitby Public Library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Whitchurch-Stouffville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Whitestone-Hagerman Memorial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Wollaston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Woodstock Public Library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Wyse and Poitras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Zealand 3 Local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</w:tcPr>
          <w:p>
            <w:pPr/>
            <w:r>
              <w:rPr>
                <w:rStyle w:val="fSmallBodyTable"/>
              </w:rPr>
              <w:t xml:space="preserve">whiskey lake roads board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8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5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12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9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  <w:tc>
          <w:tcPr>
            <w:tcW w:w="700" w:type="dxa"/>
          </w:tcPr>
          <w:p>
            <w:pPr>
              <w:jc w:val="center"/>
            </w:pPr>
            <w:r>
              <w:rPr>
                <w:rStyle w:val="fSmallBodyTable"/>
              </w:rPr>
              <w:t xml:space="preserve">0</w:t>
            </w:r>
          </w:p>
        </w:tc>
      </w:tr>
      <w:tr>
        <w:trPr/>
        <w:tc>
          <w:tcPr>
            <w:tcW w:w="3400" w:type="dxa"/>
            <w:shd w:val="clear" w:color="" w:fill="A6A6A6"/>
          </w:tcPr>
          <w:p>
            <w:pPr/>
            <w:r>
              <w:rPr>
                <w:rStyle w:val="fSmallFooterTable"/>
              </w:rPr>
              <w:t xml:space="preserve">Total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1497</w:t>
            </w:r>
          </w:p>
        </w:tc>
        <w:tc>
          <w:tcPr>
            <w:tcW w:w="98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1420</w:t>
            </w:r>
          </w:p>
        </w:tc>
        <w:tc>
          <w:tcPr>
            <w:tcW w:w="95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1310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92.3</w:t>
            </w:r>
          </w:p>
        </w:tc>
        <w:tc>
          <w:tcPr>
            <w:tcW w:w="12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98.2</w:t>
            </w:r>
          </w:p>
        </w:tc>
        <w:tc>
          <w:tcPr>
            <w:tcW w:w="9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22</w:t>
            </w:r>
          </w:p>
        </w:tc>
        <w:tc>
          <w:tcPr>
            <w:tcW w:w="700" w:type="dxa"/>
            <w:shd w:val="clear" w:color="" w:fill="A6A6A6"/>
          </w:tcPr>
          <w:p>
            <w:pPr>
              <w:jc w:val="center"/>
            </w:pPr>
            <w:r>
              <w:rPr>
                <w:rStyle w:val="fSmallFooterTable"/>
              </w:rPr>
              <w:t xml:space="preserve">1.5</w:t>
            </w:r>
          </w:p>
        </w:tc>
      </w:tr>
    </w:tbl>
    <w:p>
      <w:pPr/>
      <w:r>
        <w:rPr/>
        <w:t xml:space="preserve"/>
      </w:r>
    </w:p>
    <w:p>
      <w:pPr/>
      <w:r>
        <w:rPr>
          <w:sz w:val="16"/>
          <w:szCs w:val="16"/>
          <w:i/>
          <w:iCs/>
        </w:rPr>
        <w:t xml:space="preserve">*Including Notice of Extension, section 20(1) and Notice to Affected Persons, section 21(1).  Such notices are used in circumstances where, for example, there is a need to search through a large number of records or consult with one or more people outside the organization.</w:t>
      </w:r>
    </w:p>
    <w:p>
      <w:pPr/>
      <w:r>
        <w:rPr/>
        <w:t xml:space="preserve"/>
      </w:r>
    </w:p>
    <w:sectPr>
      <w:footerReference w:type="default" r:id="rId7"/>
      <w:pgSz w:orient="portrait" w:w="11870" w:h="16787"/>
      <w:pgMar w:top="400" w:right="1000" w:bottom="500" w:left="1000" w:header="720" w:footer="720" w:gutter="0"/>
      <w:cols w:num="1" w:space="7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Times New Roman" w:hAnsi="Times New Roman" w:eastAsia="Times New Roman" w:cs="Times New Roman"/>
        <w:sz w:val="16"/>
        <w:szCs w:val="16"/>
      </w:rPr>
      <w:t xml:space="preserve">2024 Annual Report External Statistics	April 3, 2025 13:59:24	Page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PAGE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NUMPAGES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.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>
    <w:name w:val="fHeaderDocument"/>
    <w:rPr>
      <w:rFonts w:ascii="Times New Roman" w:hAnsi="Times New Roman" w:eastAsia="Times New Roman" w:cs="Times New Roman"/>
      <w:sz w:val="44"/>
      <w:szCs w:val="44"/>
    </w:rPr>
  </w:style>
  <w:style w:type="character">
    <w:name w:val="fHeaderSection"/>
    <w:rPr>
      <w:rFonts w:ascii="Times New Roman" w:hAnsi="Times New Roman" w:eastAsia="Times New Roman" w:cs="Times New Roman"/>
      <w:sz w:val="36"/>
      <w:szCs w:val="36"/>
    </w:rPr>
  </w:style>
  <w:style w:type="character">
    <w:name w:val="fNameTable"/>
    <w:rPr>
      <w:rFonts w:ascii="Haettenschweiler;Impact" w:hAnsi="Haettenschweiler;Impact" w:eastAsia="Haettenschweiler;Impact" w:cs="Haettenschweiler;Impact"/>
      <w:sz w:val="24"/>
      <w:szCs w:val="24"/>
      <w:b/>
    </w:rPr>
  </w:style>
  <w:style w:type="paragraph" w:customStyle="1" w:styleId="pHeaderTable">
    <w:name w:val="pHeaderTable"/>
    <w:basedOn w:val="Normal"/>
    <w:pPr>
      <w:jc w:val="center"/>
    </w:pPr>
  </w:style>
  <w:style w:type="character">
    <w:name w:val="fHead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HeaderTable"/>
    <w:rPr>
      <w:rFonts w:ascii="Times New Roman" w:hAnsi="Times New Roman" w:eastAsia="Times New Roman" w:cs="Times New Roman"/>
      <w:sz w:val="16"/>
      <w:szCs w:val="16"/>
      <w:b/>
    </w:rPr>
  </w:style>
  <w:style w:type="character">
    <w:name w:val="fSmallBodyTable"/>
    <w:rPr>
      <w:rFonts w:ascii="Times New Roman" w:hAnsi="Times New Roman" w:eastAsia="Times New Roman" w:cs="Times New Roman"/>
      <w:sz w:val="18"/>
      <w:szCs w:val="18"/>
    </w:rPr>
  </w:style>
  <w:style w:type="character">
    <w:name w:val="fFoot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FooterTable"/>
    <w:rPr>
      <w:rFonts w:ascii="Times New Roman" w:hAnsi="Times New Roman" w:eastAsia="Times New Roman" w:cs="Times New Roman"/>
      <w:sz w:val="18"/>
      <w:szCs w:val="1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2025-04-03T13:59:24-04:00</dcterms:created>
  <dcterms:modified xsi:type="dcterms:W3CDTF">2025-04-03T13:59:24-04:00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